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DC9BF" w14:textId="3963F856" w:rsidR="00E756EC" w:rsidRPr="009628DC" w:rsidRDefault="009628DC" w:rsidP="009628DC">
      <w:pPr>
        <w:jc w:val="center"/>
        <w:rPr>
          <w:rFonts w:ascii="Arial" w:hAnsi="Arial" w:cs="Arial"/>
          <w:b/>
          <w:color w:val="000000" w:themeColor="text1"/>
          <w:sz w:val="24"/>
          <w:szCs w:val="24"/>
        </w:rPr>
      </w:pPr>
      <w:r w:rsidRPr="009628DC">
        <w:rPr>
          <w:rFonts w:ascii="Arial" w:hAnsi="Arial" w:cs="Arial"/>
          <w:b/>
          <w:color w:val="000000" w:themeColor="text1"/>
          <w:sz w:val="24"/>
          <w:szCs w:val="24"/>
          <w:highlight w:val="yellow"/>
        </w:rPr>
        <w:t>FYXX</w:t>
      </w:r>
      <w:r w:rsidRPr="009628DC">
        <w:rPr>
          <w:rFonts w:ascii="Arial" w:hAnsi="Arial" w:cs="Arial"/>
          <w:b/>
          <w:color w:val="000000" w:themeColor="text1"/>
          <w:sz w:val="24"/>
          <w:szCs w:val="24"/>
        </w:rPr>
        <w:t xml:space="preserve"> </w:t>
      </w:r>
      <w:r w:rsidR="00E756EC" w:rsidRPr="009628DC">
        <w:rPr>
          <w:rFonts w:ascii="Arial" w:hAnsi="Arial" w:cs="Arial"/>
          <w:b/>
          <w:color w:val="000000" w:themeColor="text1"/>
          <w:sz w:val="24"/>
          <w:szCs w:val="24"/>
        </w:rPr>
        <w:t>SALES COMPENSATION PLAN</w:t>
      </w:r>
    </w:p>
    <w:p w14:paraId="1E918A4B" w14:textId="77777777" w:rsidR="00E756EC" w:rsidRPr="009628DC" w:rsidRDefault="00E756EC" w:rsidP="00E756EC">
      <w:pPr>
        <w:jc w:val="center"/>
        <w:rPr>
          <w:rFonts w:ascii="Arial" w:hAnsi="Arial" w:cs="Arial"/>
          <w:b/>
          <w:color w:val="000000" w:themeColor="text1"/>
          <w:sz w:val="24"/>
          <w:szCs w:val="24"/>
        </w:rPr>
      </w:pPr>
      <w:r w:rsidRPr="009628DC">
        <w:rPr>
          <w:rFonts w:ascii="Arial" w:hAnsi="Arial" w:cs="Arial"/>
          <w:b/>
          <w:color w:val="000000" w:themeColor="text1"/>
          <w:sz w:val="24"/>
          <w:szCs w:val="24"/>
        </w:rPr>
        <w:t>PLAN DOCUMENT</w:t>
      </w:r>
    </w:p>
    <w:p w14:paraId="6E6E7360" w14:textId="6CEC2A54" w:rsidR="00E756EC" w:rsidRPr="009628DC" w:rsidRDefault="00E756EC" w:rsidP="009628DC">
      <w:pPr>
        <w:spacing w:after="240"/>
        <w:jc w:val="center"/>
        <w:rPr>
          <w:rFonts w:ascii="Arial" w:hAnsi="Arial" w:cs="Arial"/>
          <w:sz w:val="16"/>
          <w:szCs w:val="16"/>
        </w:rPr>
      </w:pPr>
      <w:r>
        <w:rPr>
          <w:rFonts w:ascii="Arial" w:hAnsi="Arial" w:cs="Arial"/>
          <w:sz w:val="16"/>
          <w:szCs w:val="16"/>
        </w:rPr>
        <w:t xml:space="preserve">(Effective January 1, </w:t>
      </w:r>
      <w:r w:rsidRPr="009628DC">
        <w:rPr>
          <w:rFonts w:ascii="Arial" w:hAnsi="Arial" w:cs="Arial"/>
          <w:sz w:val="16"/>
          <w:szCs w:val="16"/>
          <w:highlight w:val="yellow"/>
        </w:rPr>
        <w:t>20XX</w:t>
      </w:r>
      <w:r>
        <w:rPr>
          <w:rFonts w:ascii="Arial" w:hAnsi="Arial" w:cs="Arial"/>
          <w:sz w:val="16"/>
          <w:szCs w:val="16"/>
        </w:rPr>
        <w:t xml:space="preserve"> and subject to the </w:t>
      </w:r>
      <w:r w:rsidRPr="009628DC">
        <w:rPr>
          <w:rFonts w:ascii="Arial" w:hAnsi="Arial" w:cs="Arial"/>
          <w:sz w:val="16"/>
          <w:szCs w:val="16"/>
          <w:highlight w:val="yellow"/>
        </w:rPr>
        <w:t>FYXX</w:t>
      </w:r>
      <w:r>
        <w:rPr>
          <w:rFonts w:ascii="Arial" w:hAnsi="Arial" w:cs="Arial"/>
          <w:sz w:val="16"/>
          <w:szCs w:val="16"/>
        </w:rPr>
        <w:t xml:space="preserve"> Sales Compensation Policy)</w:t>
      </w:r>
    </w:p>
    <w:p w14:paraId="11ACEEEA" w14:textId="3F9F2703" w:rsidR="00E756EC" w:rsidRPr="00324164" w:rsidRDefault="00E756EC" w:rsidP="00E756EC">
      <w:pPr>
        <w:pStyle w:val="Heading3"/>
        <w:rPr>
          <w:color w:val="235043"/>
        </w:rPr>
      </w:pPr>
      <w:r w:rsidRPr="00324164">
        <w:rPr>
          <w:color w:val="235043"/>
        </w:rPr>
        <w:t xml:space="preserve">Plan </w:t>
      </w:r>
      <w:r w:rsidR="000C7D4E" w:rsidRPr="00324164">
        <w:rPr>
          <w:color w:val="235043"/>
        </w:rPr>
        <w:t>d</w:t>
      </w:r>
      <w:r w:rsidRPr="00324164">
        <w:rPr>
          <w:color w:val="235043"/>
        </w:rPr>
        <w:t xml:space="preserve">ocument </w:t>
      </w:r>
      <w:r w:rsidR="000C7D4E" w:rsidRPr="00324164">
        <w:rPr>
          <w:color w:val="235043"/>
        </w:rPr>
        <w:t>c</w:t>
      </w:r>
      <w:r w:rsidRPr="00324164">
        <w:rPr>
          <w:color w:val="235043"/>
        </w:rPr>
        <w:t>ontents</w:t>
      </w:r>
    </w:p>
    <w:p w14:paraId="107C7CA4" w14:textId="5AC55100" w:rsidR="00E756EC" w:rsidRDefault="00E756EC" w:rsidP="00E756EC">
      <w:pPr>
        <w:pStyle w:val="NoSpacing"/>
        <w:rPr>
          <w:rFonts w:ascii="Arial" w:hAnsi="Arial" w:cs="Arial"/>
        </w:rPr>
      </w:pPr>
      <w:r>
        <w:rPr>
          <w:rFonts w:ascii="Arial" w:hAnsi="Arial" w:cs="Arial"/>
        </w:rPr>
        <w:t>This plan document contains three parts:</w:t>
      </w:r>
    </w:p>
    <w:p w14:paraId="12C654C8" w14:textId="74306117" w:rsidR="00E756EC" w:rsidRDefault="00E756EC" w:rsidP="00E756EC">
      <w:pPr>
        <w:pStyle w:val="NoSpacing"/>
        <w:numPr>
          <w:ilvl w:val="0"/>
          <w:numId w:val="15"/>
        </w:numPr>
        <w:rPr>
          <w:rFonts w:ascii="Arial" w:hAnsi="Arial" w:cs="Arial"/>
        </w:rPr>
      </w:pPr>
      <w:r>
        <w:rPr>
          <w:rFonts w:ascii="Arial" w:hAnsi="Arial" w:cs="Arial"/>
        </w:rPr>
        <w:t xml:space="preserve">Plan </w:t>
      </w:r>
      <w:r w:rsidR="000C7D4E">
        <w:rPr>
          <w:rFonts w:ascii="Arial" w:hAnsi="Arial" w:cs="Arial"/>
        </w:rPr>
        <w:t>d</w:t>
      </w:r>
      <w:r>
        <w:rPr>
          <w:rFonts w:ascii="Arial" w:hAnsi="Arial" w:cs="Arial"/>
        </w:rPr>
        <w:t>ocument</w:t>
      </w:r>
    </w:p>
    <w:p w14:paraId="5DAF2EC8" w14:textId="3822EA3E" w:rsidR="00E756EC" w:rsidRDefault="00E756EC" w:rsidP="00E756EC">
      <w:pPr>
        <w:pStyle w:val="NoSpacing"/>
        <w:numPr>
          <w:ilvl w:val="0"/>
          <w:numId w:val="15"/>
        </w:numPr>
        <w:rPr>
          <w:rFonts w:ascii="Arial" w:hAnsi="Arial" w:cs="Arial"/>
        </w:rPr>
      </w:pPr>
      <w:r>
        <w:rPr>
          <w:rFonts w:ascii="Arial" w:hAnsi="Arial" w:cs="Arial"/>
        </w:rPr>
        <w:t xml:space="preserve">Sales </w:t>
      </w:r>
      <w:r w:rsidR="000C7D4E">
        <w:rPr>
          <w:rFonts w:ascii="Arial" w:hAnsi="Arial" w:cs="Arial"/>
        </w:rPr>
        <w:t>c</w:t>
      </w:r>
      <w:r>
        <w:rPr>
          <w:rFonts w:ascii="Arial" w:hAnsi="Arial" w:cs="Arial"/>
        </w:rPr>
        <w:t xml:space="preserve">ompensation </w:t>
      </w:r>
      <w:r w:rsidR="000C7D4E">
        <w:rPr>
          <w:rFonts w:ascii="Arial" w:hAnsi="Arial" w:cs="Arial"/>
        </w:rPr>
        <w:t>p</w:t>
      </w:r>
      <w:r>
        <w:rPr>
          <w:rFonts w:ascii="Arial" w:hAnsi="Arial" w:cs="Arial"/>
        </w:rPr>
        <w:t xml:space="preserve">rogram </w:t>
      </w:r>
      <w:r w:rsidR="000C7D4E">
        <w:rPr>
          <w:rFonts w:ascii="Arial" w:hAnsi="Arial" w:cs="Arial"/>
        </w:rPr>
        <w:t>p</w:t>
      </w:r>
      <w:r>
        <w:rPr>
          <w:rFonts w:ascii="Arial" w:hAnsi="Arial" w:cs="Arial"/>
        </w:rPr>
        <w:t>olicies</w:t>
      </w:r>
    </w:p>
    <w:p w14:paraId="24A29C5A" w14:textId="3DA1AD26" w:rsidR="00E756EC" w:rsidRDefault="00E756EC" w:rsidP="00E756EC">
      <w:pPr>
        <w:pStyle w:val="NoSpacing"/>
        <w:numPr>
          <w:ilvl w:val="0"/>
          <w:numId w:val="15"/>
        </w:numPr>
        <w:rPr>
          <w:rFonts w:ascii="Arial" w:hAnsi="Arial" w:cs="Arial"/>
        </w:rPr>
      </w:pPr>
      <w:r>
        <w:rPr>
          <w:rFonts w:ascii="Arial" w:hAnsi="Arial" w:cs="Arial"/>
        </w:rPr>
        <w:t xml:space="preserve">Plan </w:t>
      </w:r>
      <w:r w:rsidR="000C7D4E">
        <w:rPr>
          <w:rFonts w:ascii="Arial" w:hAnsi="Arial" w:cs="Arial"/>
        </w:rPr>
        <w:t>a</w:t>
      </w:r>
      <w:r>
        <w:rPr>
          <w:rFonts w:ascii="Arial" w:hAnsi="Arial" w:cs="Arial"/>
        </w:rPr>
        <w:t xml:space="preserve">cknowledgement </w:t>
      </w:r>
      <w:r w:rsidR="000C7D4E">
        <w:rPr>
          <w:rFonts w:ascii="Arial" w:hAnsi="Arial" w:cs="Arial"/>
        </w:rPr>
        <w:t>f</w:t>
      </w:r>
      <w:r>
        <w:rPr>
          <w:rFonts w:ascii="Arial" w:hAnsi="Arial" w:cs="Arial"/>
        </w:rPr>
        <w:t>orm</w:t>
      </w:r>
    </w:p>
    <w:p w14:paraId="0D54FF8A" w14:textId="77777777" w:rsidR="00E756EC" w:rsidRDefault="00E756EC" w:rsidP="00E756EC">
      <w:pPr>
        <w:pStyle w:val="NoSpacing"/>
        <w:rPr>
          <w:rFonts w:ascii="Arial" w:hAnsi="Arial" w:cs="Arial"/>
          <w:sz w:val="22"/>
        </w:rPr>
      </w:pPr>
    </w:p>
    <w:p w14:paraId="20FF122A" w14:textId="067B509E" w:rsidR="00E756EC" w:rsidRPr="00324164" w:rsidRDefault="00E756EC" w:rsidP="00E756EC">
      <w:pPr>
        <w:pStyle w:val="Heading3"/>
        <w:rPr>
          <w:color w:val="235043"/>
        </w:rPr>
      </w:pPr>
      <w:r w:rsidRPr="00324164">
        <w:rPr>
          <w:color w:val="235043"/>
        </w:rPr>
        <w:t xml:space="preserve">Plan </w:t>
      </w:r>
      <w:r w:rsidR="000C7D4E" w:rsidRPr="00324164">
        <w:rPr>
          <w:color w:val="235043"/>
        </w:rPr>
        <w:t>o</w:t>
      </w:r>
      <w:r w:rsidRPr="00324164">
        <w:rPr>
          <w:color w:val="235043"/>
        </w:rPr>
        <w:t>verview</w:t>
      </w:r>
    </w:p>
    <w:p w14:paraId="66A923D0" w14:textId="71A9489C" w:rsidR="00E756EC" w:rsidRPr="004E0406" w:rsidRDefault="00E756EC" w:rsidP="00E756EC">
      <w:pPr>
        <w:pStyle w:val="NoSpacing"/>
        <w:rPr>
          <w:rFonts w:ascii="Arial" w:hAnsi="Arial" w:cs="Arial"/>
        </w:rPr>
      </w:pPr>
      <w:r w:rsidRPr="004E0406">
        <w:rPr>
          <w:rFonts w:ascii="Arial" w:hAnsi="Arial" w:cs="Arial"/>
        </w:rPr>
        <w:t xml:space="preserve">The Sales </w:t>
      </w:r>
      <w:r w:rsidR="000C7D4E">
        <w:rPr>
          <w:rFonts w:ascii="Arial" w:hAnsi="Arial" w:cs="Arial"/>
        </w:rPr>
        <w:t>C</w:t>
      </w:r>
      <w:r w:rsidRPr="004E0406">
        <w:rPr>
          <w:rFonts w:ascii="Arial" w:hAnsi="Arial" w:cs="Arial"/>
        </w:rPr>
        <w:t>ompensation Plan (the “Plan”) is designed to accomplish the following:</w:t>
      </w:r>
    </w:p>
    <w:p w14:paraId="01CFC82B" w14:textId="63C13F73" w:rsidR="00E756EC" w:rsidRPr="004E0406" w:rsidRDefault="00E756EC" w:rsidP="00E756EC">
      <w:pPr>
        <w:pStyle w:val="NoSpacing"/>
        <w:numPr>
          <w:ilvl w:val="0"/>
          <w:numId w:val="18"/>
        </w:numPr>
        <w:ind w:left="720" w:hanging="360"/>
        <w:rPr>
          <w:rFonts w:ascii="Arial" w:hAnsi="Arial" w:cs="Arial"/>
        </w:rPr>
      </w:pPr>
      <w:r w:rsidRPr="004E0406">
        <w:rPr>
          <w:rFonts w:ascii="Arial" w:hAnsi="Arial" w:cs="Arial"/>
        </w:rPr>
        <w:t xml:space="preserve">Support </w:t>
      </w:r>
      <w:r w:rsidRPr="00E756EC">
        <w:rPr>
          <w:rFonts w:ascii="Arial" w:hAnsi="Arial" w:cs="Arial"/>
          <w:highlight w:val="yellow"/>
        </w:rPr>
        <w:t>&lt;Company&gt;</w:t>
      </w:r>
      <w:r w:rsidRPr="004E0406">
        <w:rPr>
          <w:rFonts w:ascii="Arial" w:hAnsi="Arial" w:cs="Arial"/>
        </w:rPr>
        <w:t xml:space="preserve"> </w:t>
      </w:r>
      <w:r w:rsidR="00B616C6">
        <w:rPr>
          <w:rFonts w:ascii="Arial" w:hAnsi="Arial" w:cs="Arial"/>
        </w:rPr>
        <w:t xml:space="preserve">(the “Company”) </w:t>
      </w:r>
      <w:r w:rsidRPr="004E0406">
        <w:rPr>
          <w:rFonts w:ascii="Arial" w:hAnsi="Arial" w:cs="Arial"/>
        </w:rPr>
        <w:t>strategic objectives for revenue growth and profitability</w:t>
      </w:r>
    </w:p>
    <w:p w14:paraId="1B3ED8CA" w14:textId="77777777" w:rsidR="00E756EC" w:rsidRPr="004E0406" w:rsidRDefault="00E756EC" w:rsidP="00E756EC">
      <w:pPr>
        <w:pStyle w:val="NoSpacing"/>
        <w:numPr>
          <w:ilvl w:val="0"/>
          <w:numId w:val="18"/>
        </w:numPr>
        <w:ind w:left="720" w:hanging="360"/>
        <w:rPr>
          <w:rFonts w:ascii="Arial" w:hAnsi="Arial" w:cs="Arial"/>
        </w:rPr>
      </w:pPr>
      <w:r>
        <w:rPr>
          <w:rFonts w:ascii="Arial" w:hAnsi="Arial" w:cs="Arial"/>
        </w:rPr>
        <w:t>Be</w:t>
      </w:r>
      <w:r w:rsidRPr="004E0406">
        <w:rPr>
          <w:rFonts w:ascii="Arial" w:hAnsi="Arial" w:cs="Arial"/>
        </w:rPr>
        <w:t xml:space="preserve"> </w:t>
      </w:r>
      <w:r>
        <w:rPr>
          <w:rFonts w:ascii="Arial" w:hAnsi="Arial" w:cs="Arial"/>
        </w:rPr>
        <w:t>market-competitive</w:t>
      </w:r>
    </w:p>
    <w:p w14:paraId="550F7595" w14:textId="77777777" w:rsidR="00E756EC" w:rsidRDefault="00E756EC" w:rsidP="00E756EC">
      <w:pPr>
        <w:pStyle w:val="NoSpacing"/>
        <w:numPr>
          <w:ilvl w:val="0"/>
          <w:numId w:val="18"/>
        </w:numPr>
        <w:ind w:left="720" w:hanging="360"/>
        <w:rPr>
          <w:rFonts w:ascii="Arial" w:hAnsi="Arial" w:cs="Arial"/>
        </w:rPr>
      </w:pPr>
      <w:r>
        <w:rPr>
          <w:rFonts w:ascii="Arial" w:hAnsi="Arial" w:cs="Arial"/>
        </w:rPr>
        <w:t>Pay for</w:t>
      </w:r>
      <w:r w:rsidRPr="004E0406">
        <w:rPr>
          <w:rFonts w:ascii="Arial" w:hAnsi="Arial" w:cs="Arial"/>
        </w:rPr>
        <w:t xml:space="preserve"> performance</w:t>
      </w:r>
    </w:p>
    <w:p w14:paraId="4D1EA873" w14:textId="77777777" w:rsidR="00E756EC" w:rsidRDefault="00E756EC" w:rsidP="00E756EC">
      <w:pPr>
        <w:pStyle w:val="NoSpacing"/>
        <w:numPr>
          <w:ilvl w:val="0"/>
          <w:numId w:val="18"/>
        </w:numPr>
        <w:ind w:left="720" w:hanging="360"/>
        <w:rPr>
          <w:rFonts w:ascii="Arial" w:hAnsi="Arial" w:cs="Arial"/>
        </w:rPr>
      </w:pPr>
      <w:r>
        <w:rPr>
          <w:rFonts w:ascii="Arial" w:hAnsi="Arial" w:cs="Arial"/>
        </w:rPr>
        <w:t>Motivate and reward success</w:t>
      </w:r>
    </w:p>
    <w:p w14:paraId="2C311D05" w14:textId="6AEF290F" w:rsidR="00E756EC" w:rsidRPr="004E0406" w:rsidRDefault="00E756EC" w:rsidP="00E756EC">
      <w:pPr>
        <w:pStyle w:val="NoSpacing"/>
        <w:numPr>
          <w:ilvl w:val="0"/>
          <w:numId w:val="18"/>
        </w:numPr>
        <w:ind w:left="720" w:hanging="360"/>
        <w:rPr>
          <w:rFonts w:ascii="Arial" w:hAnsi="Arial" w:cs="Arial"/>
        </w:rPr>
      </w:pPr>
      <w:r>
        <w:rPr>
          <w:rFonts w:ascii="Arial" w:hAnsi="Arial" w:cs="Arial"/>
        </w:rPr>
        <w:t>Be simple to understand</w:t>
      </w:r>
    </w:p>
    <w:p w14:paraId="7333091A" w14:textId="77777777" w:rsidR="00E756EC" w:rsidRPr="004E0406" w:rsidRDefault="00E756EC" w:rsidP="00E756EC">
      <w:pPr>
        <w:pStyle w:val="NoSpacing"/>
        <w:rPr>
          <w:rFonts w:ascii="Arial" w:hAnsi="Arial" w:cs="Arial"/>
        </w:rPr>
      </w:pPr>
    </w:p>
    <w:p w14:paraId="1D6D49F2" w14:textId="3624AC1B" w:rsidR="00E756EC" w:rsidRPr="00324164" w:rsidRDefault="00937A7E" w:rsidP="00E756EC">
      <w:pPr>
        <w:pStyle w:val="Heading3"/>
        <w:rPr>
          <w:color w:val="235043"/>
        </w:rPr>
      </w:pPr>
      <w:r w:rsidRPr="00324164">
        <w:rPr>
          <w:color w:val="235043"/>
        </w:rPr>
        <w:t>Purpose of this plan</w:t>
      </w:r>
    </w:p>
    <w:p w14:paraId="491DBE23" w14:textId="0183BE53" w:rsidR="00E756EC" w:rsidRDefault="00E756EC" w:rsidP="00E756EC">
      <w:pPr>
        <w:pStyle w:val="NoSpacing"/>
        <w:rPr>
          <w:rFonts w:ascii="Arial" w:hAnsi="Arial" w:cs="Arial"/>
        </w:rPr>
      </w:pPr>
      <w:r>
        <w:rPr>
          <w:rFonts w:ascii="Arial" w:hAnsi="Arial" w:cs="Arial"/>
        </w:rPr>
        <w:t xml:space="preserve">The purpose of this incentive plan is to align pay with </w:t>
      </w:r>
      <w:r w:rsidR="000C7D4E">
        <w:rPr>
          <w:rFonts w:ascii="Arial" w:hAnsi="Arial" w:cs="Arial"/>
        </w:rPr>
        <w:t>the following</w:t>
      </w:r>
      <w:r>
        <w:rPr>
          <w:rFonts w:ascii="Arial" w:hAnsi="Arial" w:cs="Arial"/>
        </w:rPr>
        <w:t xml:space="preserve"> objectives and expected outcome</w:t>
      </w:r>
      <w:r w:rsidR="000C7D4E">
        <w:rPr>
          <w:rFonts w:ascii="Arial" w:hAnsi="Arial" w:cs="Arial"/>
        </w:rPr>
        <w:t>s</w:t>
      </w:r>
      <w:r>
        <w:rPr>
          <w:rFonts w:ascii="Arial" w:hAnsi="Arial" w:cs="Arial"/>
        </w:rPr>
        <w:t>:</w:t>
      </w:r>
    </w:p>
    <w:p w14:paraId="1514339D" w14:textId="77777777" w:rsidR="00E756EC" w:rsidRDefault="00E756EC" w:rsidP="00E756EC">
      <w:pPr>
        <w:pStyle w:val="NoSpacing"/>
        <w:numPr>
          <w:ilvl w:val="0"/>
          <w:numId w:val="5"/>
        </w:numPr>
        <w:rPr>
          <w:rFonts w:ascii="Arial" w:hAnsi="Arial" w:cs="Arial"/>
        </w:rPr>
      </w:pPr>
      <w:r>
        <w:rPr>
          <w:rFonts w:ascii="Arial" w:hAnsi="Arial" w:cs="Arial"/>
        </w:rPr>
        <w:t>Focus on closing new business in order to meet and exceed your New Bookings annual quota</w:t>
      </w:r>
    </w:p>
    <w:p w14:paraId="430CBAEB" w14:textId="77777777" w:rsidR="00E756EC" w:rsidRDefault="00E756EC" w:rsidP="00E756EC">
      <w:pPr>
        <w:pStyle w:val="NoSpacing"/>
        <w:numPr>
          <w:ilvl w:val="0"/>
          <w:numId w:val="5"/>
        </w:numPr>
        <w:rPr>
          <w:rFonts w:ascii="Arial" w:hAnsi="Arial" w:cs="Arial"/>
        </w:rPr>
      </w:pPr>
      <w:r>
        <w:rPr>
          <w:rFonts w:ascii="Arial" w:hAnsi="Arial" w:cs="Arial"/>
        </w:rPr>
        <w:t>Achieve your New Bookings quarterly quotas</w:t>
      </w:r>
    </w:p>
    <w:p w14:paraId="5A6B9BA4" w14:textId="7C515602" w:rsidR="00E756EC" w:rsidRDefault="003B182A" w:rsidP="00E756EC">
      <w:pPr>
        <w:pStyle w:val="NoSpacing"/>
        <w:numPr>
          <w:ilvl w:val="0"/>
          <w:numId w:val="5"/>
        </w:numPr>
        <w:rPr>
          <w:rFonts w:ascii="Arial" w:hAnsi="Arial" w:cs="Arial"/>
        </w:rPr>
      </w:pPr>
      <w:r>
        <w:rPr>
          <w:rFonts w:ascii="Arial" w:hAnsi="Arial" w:cs="Arial"/>
        </w:rPr>
        <w:t>Sell multi-year deals</w:t>
      </w:r>
    </w:p>
    <w:p w14:paraId="373DC586" w14:textId="77777777" w:rsidR="00697307" w:rsidRPr="00697307" w:rsidRDefault="00697307" w:rsidP="00697307">
      <w:pPr>
        <w:pStyle w:val="NoSpacing"/>
        <w:ind w:left="720"/>
        <w:rPr>
          <w:rFonts w:ascii="Arial" w:hAnsi="Arial" w:cs="Arial"/>
        </w:rPr>
      </w:pPr>
    </w:p>
    <w:p w14:paraId="68EFFCEB" w14:textId="03301A4E" w:rsidR="00E756EC" w:rsidRPr="00324164" w:rsidRDefault="00E756EC" w:rsidP="00E756EC">
      <w:pPr>
        <w:pStyle w:val="Heading3"/>
        <w:rPr>
          <w:color w:val="235043"/>
        </w:rPr>
      </w:pPr>
      <w:r w:rsidRPr="00324164">
        <w:rPr>
          <w:color w:val="235043"/>
        </w:rPr>
        <w:t xml:space="preserve">Plan </w:t>
      </w:r>
      <w:r w:rsidR="00937A7E" w:rsidRPr="00324164">
        <w:rPr>
          <w:color w:val="235043"/>
        </w:rPr>
        <w:t>c</w:t>
      </w:r>
      <w:r w:rsidRPr="00324164">
        <w:rPr>
          <w:color w:val="235043"/>
        </w:rPr>
        <w:t>omponents</w:t>
      </w:r>
    </w:p>
    <w:p w14:paraId="1D58C951" w14:textId="4C6F67DA" w:rsidR="00E756EC" w:rsidRDefault="00E756EC" w:rsidP="00E756EC">
      <w:pPr>
        <w:rPr>
          <w:rFonts w:ascii="Arial" w:hAnsi="Arial" w:cs="Arial"/>
        </w:rPr>
      </w:pPr>
      <w:r>
        <w:rPr>
          <w:rFonts w:ascii="Arial" w:hAnsi="Arial" w:cs="Arial"/>
        </w:rPr>
        <w:t xml:space="preserve">Your Target Total Compensation (TTC) is comprised of both a base salary and a variable target incentive.   Your base salary is documented in your Plan Acknowledgment Form.  </w:t>
      </w:r>
    </w:p>
    <w:p w14:paraId="722FF72C" w14:textId="77777777" w:rsidR="00E756EC" w:rsidRDefault="00E756EC" w:rsidP="00E756EC">
      <w:pPr>
        <w:rPr>
          <w:rFonts w:ascii="Arial" w:hAnsi="Arial" w:cs="Arial"/>
        </w:rPr>
      </w:pPr>
    </w:p>
    <w:p w14:paraId="352A4F84" w14:textId="59136638" w:rsidR="00E756EC" w:rsidRDefault="00E756EC" w:rsidP="00E756EC">
      <w:pPr>
        <w:rPr>
          <w:rFonts w:ascii="Arial" w:hAnsi="Arial" w:cs="Arial"/>
        </w:rPr>
      </w:pPr>
      <w:r>
        <w:rPr>
          <w:rFonts w:ascii="Arial" w:hAnsi="Arial" w:cs="Arial"/>
        </w:rPr>
        <w:t>Your target incentive pay is subject to</w:t>
      </w:r>
      <w:r w:rsidR="00680CC4">
        <w:rPr>
          <w:rFonts w:ascii="Arial" w:hAnsi="Arial" w:cs="Arial"/>
        </w:rPr>
        <w:t xml:space="preserve"> the</w:t>
      </w:r>
      <w:r>
        <w:rPr>
          <w:rFonts w:ascii="Arial" w:hAnsi="Arial" w:cs="Arial"/>
        </w:rPr>
        <w:t xml:space="preserve"> three performance measures described in the table below.  The remainder of this Plan Document provides more detail and calculation examples for each performance measure.  For a complete description of any terms with which you may not be familiar, please refer to the definition of terms in </w:t>
      </w:r>
      <w:r w:rsidR="009B542D">
        <w:rPr>
          <w:rFonts w:ascii="Arial" w:hAnsi="Arial" w:cs="Arial"/>
        </w:rPr>
        <w:t>S</w:t>
      </w:r>
      <w:r>
        <w:rPr>
          <w:rFonts w:ascii="Arial" w:hAnsi="Arial" w:cs="Arial"/>
        </w:rPr>
        <w:t>ection</w:t>
      </w:r>
      <w:r w:rsidR="00697307">
        <w:rPr>
          <w:rFonts w:ascii="Arial" w:hAnsi="Arial" w:cs="Arial"/>
        </w:rPr>
        <w:t xml:space="preserve"> 14</w:t>
      </w:r>
      <w:r w:rsidR="009B542D">
        <w:rPr>
          <w:rFonts w:ascii="Arial" w:hAnsi="Arial" w:cs="Arial"/>
        </w:rPr>
        <w:t xml:space="preserve"> of the Plan Policies</w:t>
      </w:r>
      <w:r>
        <w:rPr>
          <w:rFonts w:ascii="Arial" w:hAnsi="Arial" w:cs="Arial"/>
        </w:rPr>
        <w:t>.</w:t>
      </w:r>
    </w:p>
    <w:p w14:paraId="33395073" w14:textId="77777777" w:rsidR="00E756EC" w:rsidRDefault="00E756EC" w:rsidP="00E756EC">
      <w:pPr>
        <w:jc w:val="center"/>
        <w:rPr>
          <w:rFonts w:ascii="Arial" w:hAnsi="Arial" w:cs="Arial"/>
        </w:rPr>
      </w:pPr>
    </w:p>
    <w:tbl>
      <w:tblPr>
        <w:tblStyle w:val="TableGrid"/>
        <w:tblW w:w="1044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499"/>
        <w:gridCol w:w="891"/>
        <w:gridCol w:w="3660"/>
        <w:gridCol w:w="1874"/>
        <w:gridCol w:w="1516"/>
      </w:tblGrid>
      <w:tr w:rsidR="00E756EC" w:rsidRPr="00E756EC" w14:paraId="3014B71D" w14:textId="77777777" w:rsidTr="00324164">
        <w:trPr>
          <w:trHeight w:val="521"/>
        </w:trPr>
        <w:tc>
          <w:tcPr>
            <w:tcW w:w="2499" w:type="dxa"/>
            <w:shd w:val="clear" w:color="auto" w:fill="235043"/>
            <w:vAlign w:val="center"/>
          </w:tcPr>
          <w:p w14:paraId="38D008EB" w14:textId="030B0A80" w:rsidR="00E756EC" w:rsidRPr="00E756EC" w:rsidRDefault="00E756EC" w:rsidP="00535EC7">
            <w:pPr>
              <w:rPr>
                <w:rFonts w:ascii="Arial" w:hAnsi="Arial" w:cs="Arial"/>
                <w:b/>
                <w:color w:val="FFFFFF" w:themeColor="background1"/>
              </w:rPr>
            </w:pPr>
            <w:r w:rsidRPr="00E756EC">
              <w:rPr>
                <w:rFonts w:ascii="Arial" w:hAnsi="Arial" w:cs="Arial"/>
                <w:b/>
                <w:color w:val="FFFFFF" w:themeColor="background1"/>
              </w:rPr>
              <w:t xml:space="preserve">Performance </w:t>
            </w:r>
            <w:r w:rsidR="00697307">
              <w:rPr>
                <w:rFonts w:ascii="Arial" w:hAnsi="Arial" w:cs="Arial"/>
                <w:b/>
                <w:color w:val="FFFFFF" w:themeColor="background1"/>
              </w:rPr>
              <w:t>m</w:t>
            </w:r>
            <w:r w:rsidRPr="00E756EC">
              <w:rPr>
                <w:rFonts w:ascii="Arial" w:hAnsi="Arial" w:cs="Arial"/>
                <w:b/>
                <w:color w:val="FFFFFF" w:themeColor="background1"/>
              </w:rPr>
              <w:t>easure</w:t>
            </w:r>
          </w:p>
        </w:tc>
        <w:tc>
          <w:tcPr>
            <w:tcW w:w="891" w:type="dxa"/>
            <w:shd w:val="clear" w:color="auto" w:fill="235043"/>
            <w:vAlign w:val="center"/>
          </w:tcPr>
          <w:p w14:paraId="1FF3019B" w14:textId="77777777" w:rsidR="00E756EC" w:rsidRPr="00E756EC" w:rsidRDefault="00E756EC" w:rsidP="00535EC7">
            <w:pPr>
              <w:rPr>
                <w:rFonts w:ascii="Arial" w:hAnsi="Arial" w:cs="Arial"/>
                <w:b/>
                <w:color w:val="FFFFFF" w:themeColor="background1"/>
              </w:rPr>
            </w:pPr>
            <w:r w:rsidRPr="00E756EC">
              <w:rPr>
                <w:rFonts w:ascii="Arial" w:hAnsi="Arial" w:cs="Arial"/>
                <w:b/>
                <w:color w:val="FFFFFF" w:themeColor="background1"/>
              </w:rPr>
              <w:t>Weight</w:t>
            </w:r>
          </w:p>
        </w:tc>
        <w:tc>
          <w:tcPr>
            <w:tcW w:w="3660" w:type="dxa"/>
            <w:shd w:val="clear" w:color="auto" w:fill="235043"/>
            <w:vAlign w:val="center"/>
          </w:tcPr>
          <w:p w14:paraId="48914FCE" w14:textId="77777777" w:rsidR="00E756EC" w:rsidRPr="00E756EC" w:rsidRDefault="00E756EC" w:rsidP="00535EC7">
            <w:pPr>
              <w:rPr>
                <w:rFonts w:ascii="Arial" w:hAnsi="Arial" w:cs="Arial"/>
                <w:b/>
                <w:color w:val="FFFFFF" w:themeColor="background1"/>
              </w:rPr>
            </w:pPr>
            <w:r w:rsidRPr="00E756EC">
              <w:rPr>
                <w:rFonts w:ascii="Arial" w:hAnsi="Arial" w:cs="Arial"/>
                <w:b/>
                <w:color w:val="FFFFFF" w:themeColor="background1"/>
              </w:rPr>
              <w:t>Mechanic</w:t>
            </w:r>
          </w:p>
        </w:tc>
        <w:tc>
          <w:tcPr>
            <w:tcW w:w="1874" w:type="dxa"/>
            <w:shd w:val="clear" w:color="auto" w:fill="235043"/>
            <w:vAlign w:val="center"/>
          </w:tcPr>
          <w:p w14:paraId="09AF6A08" w14:textId="2976B548" w:rsidR="00E756EC" w:rsidRPr="00E756EC" w:rsidRDefault="00E756EC" w:rsidP="00535EC7">
            <w:pPr>
              <w:rPr>
                <w:rFonts w:ascii="Arial" w:hAnsi="Arial" w:cs="Arial"/>
                <w:b/>
                <w:color w:val="FFFFFF" w:themeColor="background1"/>
              </w:rPr>
            </w:pPr>
            <w:r w:rsidRPr="00E756EC">
              <w:rPr>
                <w:rFonts w:ascii="Arial" w:hAnsi="Arial" w:cs="Arial"/>
                <w:b/>
                <w:color w:val="FFFFFF" w:themeColor="background1"/>
              </w:rPr>
              <w:t xml:space="preserve">Performance </w:t>
            </w:r>
            <w:r w:rsidR="00697307">
              <w:rPr>
                <w:rFonts w:ascii="Arial" w:hAnsi="Arial" w:cs="Arial"/>
                <w:b/>
                <w:color w:val="FFFFFF" w:themeColor="background1"/>
              </w:rPr>
              <w:t>p</w:t>
            </w:r>
            <w:r w:rsidRPr="00E756EC">
              <w:rPr>
                <w:rFonts w:ascii="Arial" w:hAnsi="Arial" w:cs="Arial"/>
                <w:b/>
                <w:color w:val="FFFFFF" w:themeColor="background1"/>
              </w:rPr>
              <w:t>eriod</w:t>
            </w:r>
          </w:p>
        </w:tc>
        <w:tc>
          <w:tcPr>
            <w:tcW w:w="1516" w:type="dxa"/>
            <w:shd w:val="clear" w:color="auto" w:fill="235043"/>
            <w:vAlign w:val="center"/>
          </w:tcPr>
          <w:p w14:paraId="2983605E" w14:textId="2F0A5C41" w:rsidR="00E756EC" w:rsidRPr="00E756EC" w:rsidRDefault="00E756EC" w:rsidP="00535EC7">
            <w:pPr>
              <w:rPr>
                <w:rFonts w:ascii="Arial" w:hAnsi="Arial" w:cs="Arial"/>
                <w:b/>
                <w:color w:val="FFFFFF" w:themeColor="background1"/>
              </w:rPr>
            </w:pPr>
            <w:r w:rsidRPr="00E756EC">
              <w:rPr>
                <w:rFonts w:ascii="Arial" w:hAnsi="Arial" w:cs="Arial"/>
                <w:b/>
                <w:color w:val="FFFFFF" w:themeColor="background1"/>
              </w:rPr>
              <w:t xml:space="preserve">Payout </w:t>
            </w:r>
            <w:r w:rsidR="00697307">
              <w:rPr>
                <w:rFonts w:ascii="Arial" w:hAnsi="Arial" w:cs="Arial"/>
                <w:b/>
                <w:color w:val="FFFFFF" w:themeColor="background1"/>
              </w:rPr>
              <w:t>f</w:t>
            </w:r>
            <w:r w:rsidRPr="00E756EC">
              <w:rPr>
                <w:rFonts w:ascii="Arial" w:hAnsi="Arial" w:cs="Arial"/>
                <w:b/>
                <w:color w:val="FFFFFF" w:themeColor="background1"/>
              </w:rPr>
              <w:t>requency</w:t>
            </w:r>
          </w:p>
        </w:tc>
      </w:tr>
      <w:tr w:rsidR="00E756EC" w:rsidRPr="00E756EC" w14:paraId="5260B4AC" w14:textId="77777777" w:rsidTr="00324164">
        <w:trPr>
          <w:trHeight w:val="321"/>
        </w:trPr>
        <w:tc>
          <w:tcPr>
            <w:tcW w:w="2499" w:type="dxa"/>
            <w:shd w:val="clear" w:color="auto" w:fill="F2F2F2" w:themeFill="background1" w:themeFillShade="F2"/>
            <w:vAlign w:val="center"/>
          </w:tcPr>
          <w:p w14:paraId="25C19985" w14:textId="77777777" w:rsidR="00E756EC" w:rsidRPr="00E756EC" w:rsidRDefault="00E756EC" w:rsidP="00535EC7">
            <w:pPr>
              <w:rPr>
                <w:rFonts w:ascii="Arial" w:hAnsi="Arial" w:cs="Arial"/>
              </w:rPr>
            </w:pPr>
            <w:r w:rsidRPr="00E756EC">
              <w:rPr>
                <w:rFonts w:ascii="Arial" w:hAnsi="Arial" w:cs="Arial"/>
              </w:rPr>
              <w:t xml:space="preserve">New Bookings </w:t>
            </w:r>
          </w:p>
        </w:tc>
        <w:tc>
          <w:tcPr>
            <w:tcW w:w="891" w:type="dxa"/>
            <w:shd w:val="clear" w:color="auto" w:fill="F2F2F2" w:themeFill="background1" w:themeFillShade="F2"/>
            <w:vAlign w:val="center"/>
          </w:tcPr>
          <w:p w14:paraId="0F2B4FD2" w14:textId="77777777" w:rsidR="00E756EC" w:rsidRPr="00E756EC" w:rsidRDefault="00E756EC" w:rsidP="00535EC7">
            <w:pPr>
              <w:jc w:val="center"/>
              <w:rPr>
                <w:rFonts w:ascii="Arial" w:hAnsi="Arial" w:cs="Arial"/>
              </w:rPr>
            </w:pPr>
            <w:r w:rsidRPr="00E756EC">
              <w:rPr>
                <w:rFonts w:ascii="Arial" w:hAnsi="Arial" w:cs="Arial"/>
              </w:rPr>
              <w:t>100%</w:t>
            </w:r>
          </w:p>
        </w:tc>
        <w:tc>
          <w:tcPr>
            <w:tcW w:w="3660" w:type="dxa"/>
            <w:shd w:val="clear" w:color="auto" w:fill="F2F2F2" w:themeFill="background1" w:themeFillShade="F2"/>
            <w:vAlign w:val="center"/>
          </w:tcPr>
          <w:p w14:paraId="0BA1F03A" w14:textId="77777777" w:rsidR="00E756EC" w:rsidRPr="00E756EC" w:rsidRDefault="00E756EC" w:rsidP="00535EC7">
            <w:pPr>
              <w:rPr>
                <w:rFonts w:ascii="Arial" w:hAnsi="Arial" w:cs="Arial"/>
              </w:rPr>
            </w:pPr>
            <w:r w:rsidRPr="00E756EC">
              <w:rPr>
                <w:rFonts w:ascii="Arial" w:hAnsi="Arial" w:cs="Arial"/>
              </w:rPr>
              <w:t>Individual Commission Rate (ICR)</w:t>
            </w:r>
          </w:p>
        </w:tc>
        <w:tc>
          <w:tcPr>
            <w:tcW w:w="1874" w:type="dxa"/>
            <w:shd w:val="clear" w:color="auto" w:fill="F2F2F2" w:themeFill="background1" w:themeFillShade="F2"/>
            <w:vAlign w:val="center"/>
          </w:tcPr>
          <w:p w14:paraId="5E8998BE" w14:textId="77777777" w:rsidR="00E756EC" w:rsidRPr="00E756EC" w:rsidRDefault="00E756EC" w:rsidP="00535EC7">
            <w:pPr>
              <w:rPr>
                <w:rFonts w:ascii="Arial" w:hAnsi="Arial" w:cs="Arial"/>
              </w:rPr>
            </w:pPr>
            <w:r w:rsidRPr="00E756EC">
              <w:rPr>
                <w:rFonts w:ascii="Arial" w:hAnsi="Arial" w:cs="Arial"/>
              </w:rPr>
              <w:t>Annual</w:t>
            </w:r>
          </w:p>
        </w:tc>
        <w:tc>
          <w:tcPr>
            <w:tcW w:w="1516" w:type="dxa"/>
            <w:shd w:val="clear" w:color="auto" w:fill="F2F2F2" w:themeFill="background1" w:themeFillShade="F2"/>
            <w:vAlign w:val="center"/>
          </w:tcPr>
          <w:p w14:paraId="5FB5894A" w14:textId="77777777" w:rsidR="00E756EC" w:rsidRPr="00E756EC" w:rsidRDefault="00E756EC" w:rsidP="00535EC7">
            <w:pPr>
              <w:rPr>
                <w:rFonts w:ascii="Arial" w:hAnsi="Arial" w:cs="Arial"/>
              </w:rPr>
            </w:pPr>
            <w:r w:rsidRPr="00E756EC">
              <w:rPr>
                <w:rFonts w:ascii="Arial" w:hAnsi="Arial" w:cs="Arial"/>
              </w:rPr>
              <w:t>Quarterly</w:t>
            </w:r>
          </w:p>
        </w:tc>
      </w:tr>
      <w:tr w:rsidR="00E756EC" w:rsidRPr="00E756EC" w14:paraId="64E59526" w14:textId="77777777" w:rsidTr="00324164">
        <w:trPr>
          <w:trHeight w:val="321"/>
        </w:trPr>
        <w:tc>
          <w:tcPr>
            <w:tcW w:w="2499" w:type="dxa"/>
            <w:shd w:val="clear" w:color="auto" w:fill="F2F2F2" w:themeFill="background1" w:themeFillShade="F2"/>
            <w:vAlign w:val="center"/>
          </w:tcPr>
          <w:p w14:paraId="63000DB0" w14:textId="77777777" w:rsidR="00E756EC" w:rsidRPr="00E756EC" w:rsidRDefault="00E756EC" w:rsidP="00535EC7">
            <w:pPr>
              <w:rPr>
                <w:rFonts w:ascii="Arial" w:hAnsi="Arial" w:cs="Arial"/>
              </w:rPr>
            </w:pPr>
            <w:r w:rsidRPr="00E756EC">
              <w:rPr>
                <w:rFonts w:ascii="Arial" w:hAnsi="Arial" w:cs="Arial"/>
              </w:rPr>
              <w:t>Multiyear Kicker</w:t>
            </w:r>
          </w:p>
        </w:tc>
        <w:tc>
          <w:tcPr>
            <w:tcW w:w="891" w:type="dxa"/>
            <w:shd w:val="clear" w:color="auto" w:fill="F2F2F2" w:themeFill="background1" w:themeFillShade="F2"/>
            <w:vAlign w:val="center"/>
          </w:tcPr>
          <w:p w14:paraId="141A05A9" w14:textId="77777777" w:rsidR="00E756EC" w:rsidRPr="00E756EC" w:rsidRDefault="00E756EC" w:rsidP="00535EC7">
            <w:pPr>
              <w:jc w:val="center"/>
              <w:rPr>
                <w:rFonts w:ascii="Arial" w:hAnsi="Arial" w:cs="Arial"/>
              </w:rPr>
            </w:pPr>
            <w:r w:rsidRPr="00E756EC">
              <w:rPr>
                <w:rFonts w:ascii="Arial" w:hAnsi="Arial" w:cs="Arial"/>
              </w:rPr>
              <w:t>n/a</w:t>
            </w:r>
          </w:p>
        </w:tc>
        <w:tc>
          <w:tcPr>
            <w:tcW w:w="3660" w:type="dxa"/>
            <w:shd w:val="clear" w:color="auto" w:fill="F2F2F2" w:themeFill="background1" w:themeFillShade="F2"/>
            <w:vAlign w:val="center"/>
          </w:tcPr>
          <w:p w14:paraId="4557ED60" w14:textId="75AEC79C" w:rsidR="00E756EC" w:rsidRPr="00E756EC" w:rsidRDefault="00E756EC" w:rsidP="00535EC7">
            <w:pPr>
              <w:rPr>
                <w:rFonts w:ascii="Arial" w:hAnsi="Arial" w:cs="Arial"/>
              </w:rPr>
            </w:pPr>
            <w:r w:rsidRPr="00E756EC">
              <w:rPr>
                <w:rFonts w:ascii="Arial" w:hAnsi="Arial" w:cs="Arial"/>
              </w:rPr>
              <w:t>Add-</w:t>
            </w:r>
            <w:r w:rsidR="00697307">
              <w:rPr>
                <w:rFonts w:ascii="Arial" w:hAnsi="Arial" w:cs="Arial"/>
              </w:rPr>
              <w:t>o</w:t>
            </w:r>
            <w:r w:rsidRPr="00E756EC">
              <w:rPr>
                <w:rFonts w:ascii="Arial" w:hAnsi="Arial" w:cs="Arial"/>
              </w:rPr>
              <w:t xml:space="preserve">n </w:t>
            </w:r>
            <w:r w:rsidR="00697307">
              <w:rPr>
                <w:rFonts w:ascii="Arial" w:hAnsi="Arial" w:cs="Arial"/>
              </w:rPr>
              <w:t>c</w:t>
            </w:r>
            <w:r w:rsidRPr="00E756EC">
              <w:rPr>
                <w:rFonts w:ascii="Arial" w:hAnsi="Arial" w:cs="Arial"/>
              </w:rPr>
              <w:t>ommission – 20% of ICR</w:t>
            </w:r>
          </w:p>
        </w:tc>
        <w:tc>
          <w:tcPr>
            <w:tcW w:w="1874" w:type="dxa"/>
            <w:shd w:val="clear" w:color="auto" w:fill="F2F2F2" w:themeFill="background1" w:themeFillShade="F2"/>
            <w:vAlign w:val="center"/>
          </w:tcPr>
          <w:p w14:paraId="593A5291" w14:textId="77777777" w:rsidR="00E756EC" w:rsidRPr="00E756EC" w:rsidRDefault="00E756EC" w:rsidP="00535EC7">
            <w:pPr>
              <w:rPr>
                <w:rFonts w:ascii="Arial" w:hAnsi="Arial" w:cs="Arial"/>
              </w:rPr>
            </w:pPr>
            <w:r w:rsidRPr="00E756EC">
              <w:rPr>
                <w:rFonts w:ascii="Arial" w:hAnsi="Arial" w:cs="Arial"/>
              </w:rPr>
              <w:t>Annual</w:t>
            </w:r>
          </w:p>
        </w:tc>
        <w:tc>
          <w:tcPr>
            <w:tcW w:w="1516" w:type="dxa"/>
            <w:shd w:val="clear" w:color="auto" w:fill="F2F2F2" w:themeFill="background1" w:themeFillShade="F2"/>
            <w:vAlign w:val="center"/>
          </w:tcPr>
          <w:p w14:paraId="2D7E6496" w14:textId="77777777" w:rsidR="00E756EC" w:rsidRPr="00E756EC" w:rsidRDefault="00E756EC" w:rsidP="00535EC7">
            <w:pPr>
              <w:rPr>
                <w:rFonts w:ascii="Arial" w:hAnsi="Arial" w:cs="Arial"/>
              </w:rPr>
            </w:pPr>
            <w:r w:rsidRPr="00E756EC">
              <w:rPr>
                <w:rFonts w:ascii="Arial" w:hAnsi="Arial" w:cs="Arial"/>
              </w:rPr>
              <w:t>Quarterly</w:t>
            </w:r>
          </w:p>
        </w:tc>
      </w:tr>
      <w:tr w:rsidR="00E756EC" w:rsidRPr="00E756EC" w14:paraId="3A6E6102" w14:textId="77777777" w:rsidTr="00324164">
        <w:trPr>
          <w:trHeight w:val="321"/>
        </w:trPr>
        <w:tc>
          <w:tcPr>
            <w:tcW w:w="2499" w:type="dxa"/>
            <w:shd w:val="clear" w:color="auto" w:fill="F2F2F2" w:themeFill="background1" w:themeFillShade="F2"/>
            <w:vAlign w:val="center"/>
          </w:tcPr>
          <w:p w14:paraId="5697B7A8" w14:textId="77777777" w:rsidR="00E756EC" w:rsidRPr="00E756EC" w:rsidRDefault="00E756EC" w:rsidP="00535EC7">
            <w:pPr>
              <w:rPr>
                <w:rFonts w:ascii="Arial" w:hAnsi="Arial" w:cs="Arial"/>
              </w:rPr>
            </w:pPr>
            <w:r w:rsidRPr="00E756EC">
              <w:rPr>
                <w:rFonts w:ascii="Arial" w:hAnsi="Arial" w:cs="Arial"/>
              </w:rPr>
              <w:t>Quarterly Kicker</w:t>
            </w:r>
          </w:p>
        </w:tc>
        <w:tc>
          <w:tcPr>
            <w:tcW w:w="891" w:type="dxa"/>
            <w:shd w:val="clear" w:color="auto" w:fill="F2F2F2" w:themeFill="background1" w:themeFillShade="F2"/>
            <w:vAlign w:val="center"/>
          </w:tcPr>
          <w:p w14:paraId="156D949B" w14:textId="77777777" w:rsidR="00E756EC" w:rsidRPr="00E756EC" w:rsidRDefault="00E756EC" w:rsidP="00535EC7">
            <w:pPr>
              <w:jc w:val="center"/>
              <w:rPr>
                <w:rFonts w:ascii="Arial" w:hAnsi="Arial" w:cs="Arial"/>
              </w:rPr>
            </w:pPr>
            <w:r w:rsidRPr="00E756EC">
              <w:rPr>
                <w:rFonts w:ascii="Arial" w:hAnsi="Arial" w:cs="Arial"/>
              </w:rPr>
              <w:t>n/a</w:t>
            </w:r>
          </w:p>
        </w:tc>
        <w:tc>
          <w:tcPr>
            <w:tcW w:w="3660" w:type="dxa"/>
            <w:shd w:val="clear" w:color="auto" w:fill="F2F2F2" w:themeFill="background1" w:themeFillShade="F2"/>
            <w:vAlign w:val="center"/>
          </w:tcPr>
          <w:p w14:paraId="27EAB95B" w14:textId="6F30DA02" w:rsidR="00E756EC" w:rsidRPr="00E756EC" w:rsidRDefault="00E756EC" w:rsidP="00535EC7">
            <w:pPr>
              <w:rPr>
                <w:rFonts w:ascii="Arial" w:hAnsi="Arial" w:cs="Arial"/>
              </w:rPr>
            </w:pPr>
            <w:r w:rsidRPr="00E756EC">
              <w:rPr>
                <w:rFonts w:ascii="Arial" w:hAnsi="Arial" w:cs="Arial"/>
              </w:rPr>
              <w:t>Add-</w:t>
            </w:r>
            <w:r w:rsidR="00697307">
              <w:rPr>
                <w:rFonts w:ascii="Arial" w:hAnsi="Arial" w:cs="Arial"/>
              </w:rPr>
              <w:t>o</w:t>
            </w:r>
            <w:r w:rsidRPr="00E756EC">
              <w:rPr>
                <w:rFonts w:ascii="Arial" w:hAnsi="Arial" w:cs="Arial"/>
              </w:rPr>
              <w:t xml:space="preserve">n </w:t>
            </w:r>
            <w:r w:rsidR="00697307">
              <w:rPr>
                <w:rFonts w:ascii="Arial" w:hAnsi="Arial" w:cs="Arial"/>
              </w:rPr>
              <w:t>c</w:t>
            </w:r>
            <w:r w:rsidRPr="00E756EC">
              <w:rPr>
                <w:rFonts w:ascii="Arial" w:hAnsi="Arial" w:cs="Arial"/>
              </w:rPr>
              <w:t>ommission – 20% of ICR</w:t>
            </w:r>
          </w:p>
        </w:tc>
        <w:tc>
          <w:tcPr>
            <w:tcW w:w="1874" w:type="dxa"/>
            <w:shd w:val="clear" w:color="auto" w:fill="F2F2F2" w:themeFill="background1" w:themeFillShade="F2"/>
            <w:vAlign w:val="center"/>
          </w:tcPr>
          <w:p w14:paraId="72D590A0" w14:textId="77777777" w:rsidR="00E756EC" w:rsidRPr="00E756EC" w:rsidRDefault="00E756EC" w:rsidP="00535EC7">
            <w:pPr>
              <w:rPr>
                <w:rFonts w:ascii="Arial" w:hAnsi="Arial" w:cs="Arial"/>
              </w:rPr>
            </w:pPr>
            <w:r w:rsidRPr="00E756EC">
              <w:rPr>
                <w:rFonts w:ascii="Arial" w:hAnsi="Arial" w:cs="Arial"/>
              </w:rPr>
              <w:t>Quarterly</w:t>
            </w:r>
          </w:p>
        </w:tc>
        <w:tc>
          <w:tcPr>
            <w:tcW w:w="1516" w:type="dxa"/>
            <w:shd w:val="clear" w:color="auto" w:fill="F2F2F2" w:themeFill="background1" w:themeFillShade="F2"/>
            <w:vAlign w:val="center"/>
          </w:tcPr>
          <w:p w14:paraId="061A4FA7" w14:textId="77777777" w:rsidR="00E756EC" w:rsidRPr="00E756EC" w:rsidRDefault="00E756EC" w:rsidP="00535EC7">
            <w:pPr>
              <w:rPr>
                <w:rFonts w:ascii="Arial" w:hAnsi="Arial" w:cs="Arial"/>
              </w:rPr>
            </w:pPr>
            <w:r w:rsidRPr="00E756EC">
              <w:rPr>
                <w:rFonts w:ascii="Arial" w:hAnsi="Arial" w:cs="Arial"/>
              </w:rPr>
              <w:t>Quarterly</w:t>
            </w:r>
          </w:p>
        </w:tc>
      </w:tr>
      <w:tr w:rsidR="002D4234" w:rsidRPr="00E756EC" w14:paraId="666127D6" w14:textId="77777777" w:rsidTr="00324164">
        <w:trPr>
          <w:trHeight w:val="356"/>
        </w:trPr>
        <w:tc>
          <w:tcPr>
            <w:tcW w:w="2499" w:type="dxa"/>
            <w:shd w:val="clear" w:color="auto" w:fill="auto"/>
            <w:vAlign w:val="center"/>
          </w:tcPr>
          <w:p w14:paraId="378C4B11" w14:textId="48A47EB0" w:rsidR="002D4234" w:rsidRPr="00E756EC" w:rsidRDefault="002D4234" w:rsidP="002D4234">
            <w:pPr>
              <w:rPr>
                <w:rFonts w:ascii="Arial" w:hAnsi="Arial" w:cs="Arial"/>
              </w:rPr>
            </w:pPr>
            <w:r>
              <w:rPr>
                <w:rFonts w:ascii="Arial" w:hAnsi="Arial" w:cs="Arial"/>
                <w:b/>
                <w:sz w:val="18"/>
                <w:szCs w:val="18"/>
              </w:rPr>
              <w:t>Total</w:t>
            </w:r>
          </w:p>
        </w:tc>
        <w:tc>
          <w:tcPr>
            <w:tcW w:w="891" w:type="dxa"/>
            <w:shd w:val="clear" w:color="auto" w:fill="auto"/>
            <w:vAlign w:val="center"/>
          </w:tcPr>
          <w:p w14:paraId="1C288DA4" w14:textId="491B4F4C" w:rsidR="002D4234" w:rsidRPr="00E756EC" w:rsidRDefault="002D4234" w:rsidP="002D4234">
            <w:pPr>
              <w:jc w:val="center"/>
              <w:rPr>
                <w:rFonts w:ascii="Arial" w:hAnsi="Arial" w:cs="Arial"/>
              </w:rPr>
            </w:pPr>
            <w:r>
              <w:rPr>
                <w:rFonts w:ascii="Arial" w:hAnsi="Arial" w:cs="Arial"/>
                <w:b/>
                <w:sz w:val="18"/>
                <w:szCs w:val="18"/>
              </w:rPr>
              <w:t>100%</w:t>
            </w:r>
          </w:p>
        </w:tc>
        <w:tc>
          <w:tcPr>
            <w:tcW w:w="3660" w:type="dxa"/>
            <w:shd w:val="clear" w:color="auto" w:fill="auto"/>
            <w:vAlign w:val="center"/>
          </w:tcPr>
          <w:p w14:paraId="5ACE8479" w14:textId="77777777" w:rsidR="002D4234" w:rsidRPr="00E756EC" w:rsidRDefault="002D4234" w:rsidP="002D4234">
            <w:pPr>
              <w:rPr>
                <w:rFonts w:ascii="Arial" w:hAnsi="Arial" w:cs="Arial"/>
              </w:rPr>
            </w:pPr>
          </w:p>
        </w:tc>
        <w:tc>
          <w:tcPr>
            <w:tcW w:w="1874" w:type="dxa"/>
            <w:shd w:val="clear" w:color="auto" w:fill="auto"/>
            <w:vAlign w:val="center"/>
          </w:tcPr>
          <w:p w14:paraId="3FBD0321" w14:textId="77777777" w:rsidR="002D4234" w:rsidRPr="00E756EC" w:rsidRDefault="002D4234" w:rsidP="002D4234">
            <w:pPr>
              <w:rPr>
                <w:rFonts w:ascii="Arial" w:hAnsi="Arial" w:cs="Arial"/>
              </w:rPr>
            </w:pPr>
          </w:p>
        </w:tc>
        <w:tc>
          <w:tcPr>
            <w:tcW w:w="1516" w:type="dxa"/>
            <w:shd w:val="clear" w:color="auto" w:fill="auto"/>
            <w:vAlign w:val="center"/>
          </w:tcPr>
          <w:p w14:paraId="512DD56A" w14:textId="77777777" w:rsidR="002D4234" w:rsidRPr="00E756EC" w:rsidRDefault="002D4234" w:rsidP="002D4234">
            <w:pPr>
              <w:rPr>
                <w:rFonts w:ascii="Arial" w:hAnsi="Arial" w:cs="Arial"/>
              </w:rPr>
            </w:pPr>
          </w:p>
        </w:tc>
      </w:tr>
    </w:tbl>
    <w:p w14:paraId="38421EE6" w14:textId="77777777" w:rsidR="00E756EC" w:rsidRDefault="00E756EC" w:rsidP="00E756EC">
      <w:pPr>
        <w:tabs>
          <w:tab w:val="left" w:pos="6480"/>
        </w:tabs>
        <w:rPr>
          <w:rFonts w:ascii="Arial" w:hAnsi="Arial" w:cs="Arial"/>
        </w:rPr>
      </w:pPr>
      <w:r>
        <w:rPr>
          <w:rFonts w:ascii="Arial" w:hAnsi="Arial" w:cs="Arial"/>
        </w:rPr>
        <w:tab/>
      </w:r>
    </w:p>
    <w:p w14:paraId="7258A7E3" w14:textId="793A4FC5" w:rsidR="00E756EC" w:rsidRPr="00324164" w:rsidRDefault="00E756EC" w:rsidP="00E756EC">
      <w:pPr>
        <w:pStyle w:val="Heading3"/>
        <w:rPr>
          <w:color w:val="235043"/>
        </w:rPr>
      </w:pPr>
      <w:r w:rsidRPr="00324164">
        <w:rPr>
          <w:color w:val="235043"/>
        </w:rPr>
        <w:t xml:space="preserve">Overview of </w:t>
      </w:r>
      <w:r w:rsidR="00697307" w:rsidRPr="00324164">
        <w:rPr>
          <w:color w:val="235043"/>
        </w:rPr>
        <w:t>p</w:t>
      </w:r>
      <w:r w:rsidRPr="00324164">
        <w:rPr>
          <w:color w:val="235043"/>
        </w:rPr>
        <w:t xml:space="preserve">lan </w:t>
      </w:r>
      <w:r w:rsidR="00697307" w:rsidRPr="00324164">
        <w:rPr>
          <w:color w:val="235043"/>
        </w:rPr>
        <w:t>m</w:t>
      </w:r>
      <w:r w:rsidRPr="00324164">
        <w:rPr>
          <w:color w:val="235043"/>
        </w:rPr>
        <w:t>easures</w:t>
      </w:r>
    </w:p>
    <w:p w14:paraId="0F5953BC" w14:textId="7339A8F9" w:rsidR="00E756EC" w:rsidRPr="00324164" w:rsidRDefault="00E756EC" w:rsidP="009628DC">
      <w:pPr>
        <w:pStyle w:val="Heading4"/>
        <w:rPr>
          <w:color w:val="235043"/>
        </w:rPr>
      </w:pPr>
      <w:r w:rsidRPr="00324164">
        <w:rPr>
          <w:color w:val="235043"/>
        </w:rPr>
        <w:t xml:space="preserve">New </w:t>
      </w:r>
      <w:r w:rsidR="00697307" w:rsidRPr="00324164">
        <w:rPr>
          <w:color w:val="235043"/>
        </w:rPr>
        <w:t>b</w:t>
      </w:r>
      <w:r w:rsidRPr="00324164">
        <w:rPr>
          <w:color w:val="235043"/>
        </w:rPr>
        <w:t>ookings</w:t>
      </w:r>
    </w:p>
    <w:p w14:paraId="22B638A1" w14:textId="464E3197" w:rsidR="00E756EC" w:rsidRDefault="00E756EC" w:rsidP="00E756EC">
      <w:pPr>
        <w:pStyle w:val="NoSpacing"/>
        <w:spacing w:before="120" w:after="120"/>
        <w:rPr>
          <w:rFonts w:ascii="Arial" w:hAnsi="Arial" w:cs="Arial"/>
        </w:rPr>
      </w:pPr>
      <w:r w:rsidRPr="006C368D">
        <w:rPr>
          <w:rFonts w:ascii="Arial" w:hAnsi="Arial" w:cs="Arial"/>
        </w:rPr>
        <w:t xml:space="preserve">New Business Bookings is the total </w:t>
      </w:r>
      <w:r>
        <w:rPr>
          <w:rFonts w:ascii="Arial" w:hAnsi="Arial" w:cs="Arial"/>
        </w:rPr>
        <w:t xml:space="preserve">new </w:t>
      </w:r>
      <w:r w:rsidRPr="006C368D">
        <w:rPr>
          <w:rFonts w:ascii="Arial" w:hAnsi="Arial" w:cs="Arial"/>
        </w:rPr>
        <w:t xml:space="preserve">annualized </w:t>
      </w:r>
      <w:r>
        <w:rPr>
          <w:rFonts w:ascii="Arial" w:hAnsi="Arial" w:cs="Arial"/>
        </w:rPr>
        <w:t xml:space="preserve">monthly contract </w:t>
      </w:r>
      <w:r w:rsidRPr="006C368D">
        <w:rPr>
          <w:rFonts w:ascii="Arial" w:hAnsi="Arial" w:cs="Arial"/>
        </w:rPr>
        <w:t xml:space="preserve">value </w:t>
      </w:r>
      <w:r>
        <w:rPr>
          <w:rFonts w:ascii="Arial" w:hAnsi="Arial" w:cs="Arial"/>
        </w:rPr>
        <w:t xml:space="preserve">(ACV) or </w:t>
      </w:r>
      <w:r w:rsidRPr="00B758F9">
        <w:rPr>
          <w:rFonts w:ascii="Arial" w:hAnsi="Arial" w:cs="Arial"/>
        </w:rPr>
        <w:t>Contract Value for pilots less any adjustments</w:t>
      </w:r>
      <w:r w:rsidRPr="006C368D">
        <w:rPr>
          <w:rFonts w:ascii="Arial" w:hAnsi="Arial" w:cs="Arial"/>
        </w:rPr>
        <w:t>.</w:t>
      </w:r>
      <w:r>
        <w:rPr>
          <w:rFonts w:ascii="Arial" w:hAnsi="Arial" w:cs="Arial"/>
        </w:rPr>
        <w:t xml:space="preserve">  Your assigned New Bookings Quota is listed in your Plan Acknowledgment Form.</w:t>
      </w:r>
    </w:p>
    <w:p w14:paraId="43A74849" w14:textId="197CBD6C" w:rsidR="00E756EC" w:rsidRDefault="00352770" w:rsidP="00E756EC">
      <w:pPr>
        <w:pStyle w:val="NoSpacing"/>
        <w:spacing w:before="120" w:after="120"/>
        <w:rPr>
          <w:rFonts w:ascii="Arial" w:hAnsi="Arial" w:cs="Arial"/>
        </w:rPr>
      </w:pPr>
      <w:r>
        <w:rPr>
          <w:rFonts w:ascii="Arial" w:hAnsi="Arial" w:cs="Arial"/>
        </w:rPr>
        <w:lastRenderedPageBreak/>
        <w:t>Your New Bookings Individual Commission Rate is calculated by dividing your target incentive by your annual quota and is listed in your Plan Acknowledgment Form</w:t>
      </w:r>
      <w:r w:rsidR="005A483B">
        <w:rPr>
          <w:rFonts w:ascii="Arial" w:hAnsi="Arial" w:cs="Arial"/>
        </w:rPr>
        <w:t xml:space="preserve">.  </w:t>
      </w:r>
      <w:r w:rsidR="00E756EC">
        <w:rPr>
          <w:rFonts w:ascii="Arial" w:hAnsi="Arial" w:cs="Arial"/>
        </w:rPr>
        <w:t xml:space="preserve">Your incentive is calculated </w:t>
      </w:r>
      <w:r>
        <w:rPr>
          <w:rFonts w:ascii="Arial" w:hAnsi="Arial" w:cs="Arial"/>
        </w:rPr>
        <w:t xml:space="preserve">as the product of </w:t>
      </w:r>
      <w:r w:rsidR="00E756EC">
        <w:rPr>
          <w:rFonts w:ascii="Arial" w:hAnsi="Arial" w:cs="Arial"/>
        </w:rPr>
        <w:t xml:space="preserve">your </w:t>
      </w:r>
      <w:r w:rsidR="008019B5">
        <w:rPr>
          <w:rFonts w:ascii="Arial" w:hAnsi="Arial" w:cs="Arial"/>
        </w:rPr>
        <w:t xml:space="preserve">quota </w:t>
      </w:r>
      <w:r w:rsidR="00E756EC">
        <w:rPr>
          <w:rFonts w:ascii="Arial" w:hAnsi="Arial" w:cs="Arial"/>
        </w:rPr>
        <w:t>performance</w:t>
      </w:r>
      <w:r>
        <w:rPr>
          <w:rFonts w:ascii="Arial" w:hAnsi="Arial" w:cs="Arial"/>
        </w:rPr>
        <w:t>, your</w:t>
      </w:r>
      <w:r w:rsidR="00E756EC">
        <w:rPr>
          <w:rFonts w:ascii="Arial" w:hAnsi="Arial" w:cs="Arial"/>
        </w:rPr>
        <w:t xml:space="preserve"> Individual Commission Rate</w:t>
      </w:r>
      <w:r>
        <w:rPr>
          <w:rFonts w:ascii="Arial" w:hAnsi="Arial" w:cs="Arial"/>
        </w:rPr>
        <w:t>, and a multiplier (see below)</w:t>
      </w:r>
      <w:r w:rsidR="00E756EC">
        <w:rPr>
          <w:rFonts w:ascii="Arial" w:hAnsi="Arial" w:cs="Arial"/>
        </w:rPr>
        <w:t xml:space="preserve">.  </w:t>
      </w:r>
    </w:p>
    <w:p w14:paraId="038D0385" w14:textId="56EB9196" w:rsidR="00E756EC" w:rsidRDefault="00E756EC" w:rsidP="00E756EC">
      <w:pPr>
        <w:pStyle w:val="NoSpacing"/>
        <w:spacing w:before="120" w:after="120"/>
        <w:rPr>
          <w:rFonts w:ascii="Arial" w:hAnsi="Arial" w:cs="Arial"/>
        </w:rPr>
      </w:pPr>
      <w:r>
        <w:rPr>
          <w:rFonts w:ascii="Arial" w:hAnsi="Arial" w:cs="Arial"/>
        </w:rPr>
        <w:t>There are three breakpoints in your pay curve t</w:t>
      </w:r>
      <w:r w:rsidR="005A483B">
        <w:rPr>
          <w:rFonts w:ascii="Arial" w:hAnsi="Arial" w:cs="Arial"/>
        </w:rPr>
        <w:t>hat</w:t>
      </w:r>
      <w:r>
        <w:rPr>
          <w:rFonts w:ascii="Arial" w:hAnsi="Arial" w:cs="Arial"/>
        </w:rPr>
        <w:t xml:space="preserve"> provide incremental payouts for incremental performance.  The break points occur at 50%, 100%, and 140% of quota attainment.  Each quota attainment level is calculated separately. Your upside i</w:t>
      </w:r>
      <w:r w:rsidR="005A483B">
        <w:rPr>
          <w:rFonts w:ascii="Arial" w:hAnsi="Arial" w:cs="Arial"/>
        </w:rPr>
        <w:t>s</w:t>
      </w:r>
      <w:r>
        <w:rPr>
          <w:rFonts w:ascii="Arial" w:hAnsi="Arial" w:cs="Arial"/>
        </w:rPr>
        <w:t xml:space="preserve"> unlimited as there are no caps on your total earnings for this measure. </w:t>
      </w:r>
    </w:p>
    <w:p w14:paraId="53CCC77A" w14:textId="77777777" w:rsidR="00E756EC" w:rsidRDefault="00E756EC" w:rsidP="00E756EC">
      <w:pPr>
        <w:pStyle w:val="NoSpacing"/>
        <w:spacing w:before="120" w:after="120"/>
        <w:rPr>
          <w:rFonts w:ascii="Arial" w:hAnsi="Arial" w:cs="Arial"/>
        </w:rPr>
      </w:pPr>
      <w:r>
        <w:rPr>
          <w:rFonts w:ascii="Arial" w:hAnsi="Arial" w:cs="Arial"/>
        </w:rPr>
        <w:t xml:space="preserve">The table and chart below provide the payout rates, expressed as a multiplier to your Individual Commission Rate, for each level of quota performance.  Please refer to your Plan Acknowledgment Form to identify your specific Individual Commission Rate. </w:t>
      </w:r>
    </w:p>
    <w:tbl>
      <w:tblPr>
        <w:tblStyle w:val="TableGrid"/>
        <w:tblW w:w="5337" w:type="dxa"/>
        <w:tblInd w:w="239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0"/>
        <w:gridCol w:w="3357"/>
      </w:tblGrid>
      <w:tr w:rsidR="00E756EC" w:rsidRPr="00245D06" w14:paraId="4349D762" w14:textId="77777777" w:rsidTr="00245D06">
        <w:trPr>
          <w:trHeight w:val="170"/>
        </w:trPr>
        <w:tc>
          <w:tcPr>
            <w:tcW w:w="1980" w:type="dxa"/>
            <w:shd w:val="clear" w:color="auto" w:fill="235043"/>
          </w:tcPr>
          <w:p w14:paraId="720D7C11" w14:textId="7162BC4A" w:rsidR="00E756EC" w:rsidRPr="00245D06" w:rsidRDefault="00E756EC" w:rsidP="00535EC7">
            <w:pPr>
              <w:pStyle w:val="NoSpacing"/>
              <w:jc w:val="center"/>
              <w:rPr>
                <w:rFonts w:ascii="Arial" w:hAnsi="Arial" w:cs="Arial"/>
                <w:b/>
                <w:color w:val="FFFFFF" w:themeColor="background1"/>
                <w:sz w:val="18"/>
                <w:szCs w:val="18"/>
              </w:rPr>
            </w:pPr>
            <w:r w:rsidRPr="00245D06">
              <w:rPr>
                <w:rFonts w:ascii="Arial" w:hAnsi="Arial" w:cs="Arial"/>
                <w:b/>
                <w:color w:val="FFFFFF" w:themeColor="background1"/>
                <w:sz w:val="18"/>
                <w:szCs w:val="18"/>
              </w:rPr>
              <w:t xml:space="preserve">Quota </w:t>
            </w:r>
            <w:r w:rsidR="00525CB9">
              <w:rPr>
                <w:rFonts w:ascii="Arial" w:hAnsi="Arial" w:cs="Arial"/>
                <w:b/>
                <w:color w:val="FFFFFF" w:themeColor="background1"/>
                <w:sz w:val="18"/>
                <w:szCs w:val="18"/>
              </w:rPr>
              <w:t>a</w:t>
            </w:r>
            <w:r w:rsidRPr="00245D06">
              <w:rPr>
                <w:rFonts w:ascii="Arial" w:hAnsi="Arial" w:cs="Arial"/>
                <w:b/>
                <w:color w:val="FFFFFF" w:themeColor="background1"/>
                <w:sz w:val="18"/>
                <w:szCs w:val="18"/>
              </w:rPr>
              <w:t>ttainment</w:t>
            </w:r>
          </w:p>
        </w:tc>
        <w:tc>
          <w:tcPr>
            <w:tcW w:w="3357" w:type="dxa"/>
            <w:shd w:val="clear" w:color="auto" w:fill="235043"/>
          </w:tcPr>
          <w:p w14:paraId="0A5D95D6" w14:textId="77777777" w:rsidR="00E756EC" w:rsidRPr="00245D06" w:rsidRDefault="00E756EC" w:rsidP="00535EC7">
            <w:pPr>
              <w:pStyle w:val="NoSpacing"/>
              <w:jc w:val="center"/>
              <w:rPr>
                <w:rFonts w:ascii="Arial" w:hAnsi="Arial" w:cs="Arial"/>
                <w:b/>
                <w:color w:val="FFFFFF" w:themeColor="background1"/>
                <w:sz w:val="18"/>
                <w:szCs w:val="18"/>
              </w:rPr>
            </w:pPr>
            <w:r w:rsidRPr="00245D06">
              <w:rPr>
                <w:rFonts w:ascii="Arial" w:hAnsi="Arial" w:cs="Arial"/>
                <w:b/>
                <w:color w:val="FFFFFF" w:themeColor="background1"/>
                <w:sz w:val="18"/>
                <w:szCs w:val="18"/>
              </w:rPr>
              <w:t>Rates</w:t>
            </w:r>
          </w:p>
        </w:tc>
      </w:tr>
      <w:tr w:rsidR="00E756EC" w:rsidRPr="00245D06" w14:paraId="359C728D" w14:textId="77777777" w:rsidTr="00324164">
        <w:trPr>
          <w:trHeight w:val="125"/>
        </w:trPr>
        <w:tc>
          <w:tcPr>
            <w:tcW w:w="1980" w:type="dxa"/>
            <w:shd w:val="clear" w:color="auto" w:fill="F2F2F2" w:themeFill="background1" w:themeFillShade="F2"/>
          </w:tcPr>
          <w:p w14:paraId="02D89DA0" w14:textId="77777777" w:rsidR="00E756EC" w:rsidRPr="00245D06" w:rsidRDefault="00E756EC" w:rsidP="00535EC7">
            <w:pPr>
              <w:pStyle w:val="NoSpacing"/>
              <w:jc w:val="center"/>
              <w:rPr>
                <w:rFonts w:ascii="Arial" w:hAnsi="Arial" w:cs="Arial"/>
                <w:sz w:val="18"/>
                <w:szCs w:val="18"/>
              </w:rPr>
            </w:pPr>
            <w:r w:rsidRPr="00245D06">
              <w:rPr>
                <w:rFonts w:ascii="Arial" w:hAnsi="Arial" w:cs="Arial"/>
                <w:sz w:val="18"/>
                <w:szCs w:val="18"/>
              </w:rPr>
              <w:t>0% - &lt;50%</w:t>
            </w:r>
          </w:p>
        </w:tc>
        <w:tc>
          <w:tcPr>
            <w:tcW w:w="3357" w:type="dxa"/>
            <w:shd w:val="clear" w:color="auto" w:fill="F2F2F2" w:themeFill="background1" w:themeFillShade="F2"/>
          </w:tcPr>
          <w:p w14:paraId="4B23C07E" w14:textId="77777777" w:rsidR="00E756EC" w:rsidRPr="00245D06" w:rsidRDefault="00E756EC" w:rsidP="00535EC7">
            <w:pPr>
              <w:pStyle w:val="NoSpacing"/>
              <w:jc w:val="center"/>
              <w:rPr>
                <w:rFonts w:ascii="Arial" w:hAnsi="Arial" w:cs="Arial"/>
                <w:sz w:val="18"/>
                <w:szCs w:val="18"/>
              </w:rPr>
            </w:pPr>
            <w:r w:rsidRPr="00245D06">
              <w:rPr>
                <w:rFonts w:ascii="Arial" w:hAnsi="Arial" w:cs="Arial"/>
                <w:sz w:val="18"/>
                <w:szCs w:val="18"/>
              </w:rPr>
              <w:t>.8 x Individual Commission Rate</w:t>
            </w:r>
          </w:p>
        </w:tc>
      </w:tr>
      <w:tr w:rsidR="00E756EC" w:rsidRPr="00245D06" w14:paraId="10946192" w14:textId="77777777" w:rsidTr="00324164">
        <w:trPr>
          <w:trHeight w:val="125"/>
        </w:trPr>
        <w:tc>
          <w:tcPr>
            <w:tcW w:w="1980" w:type="dxa"/>
            <w:shd w:val="clear" w:color="auto" w:fill="F2F2F2" w:themeFill="background1" w:themeFillShade="F2"/>
          </w:tcPr>
          <w:p w14:paraId="4DE34E5C" w14:textId="77777777" w:rsidR="00E756EC" w:rsidRPr="00245D06" w:rsidRDefault="00E756EC" w:rsidP="00535EC7">
            <w:pPr>
              <w:pStyle w:val="NoSpacing"/>
              <w:jc w:val="center"/>
              <w:rPr>
                <w:rFonts w:ascii="Arial" w:hAnsi="Arial" w:cs="Arial"/>
                <w:sz w:val="18"/>
                <w:szCs w:val="18"/>
              </w:rPr>
            </w:pPr>
            <w:r w:rsidRPr="00245D06">
              <w:rPr>
                <w:rFonts w:ascii="Arial" w:hAnsi="Arial" w:cs="Arial"/>
                <w:sz w:val="18"/>
                <w:szCs w:val="18"/>
              </w:rPr>
              <w:t>50% - &lt;100%</w:t>
            </w:r>
          </w:p>
        </w:tc>
        <w:tc>
          <w:tcPr>
            <w:tcW w:w="3357" w:type="dxa"/>
            <w:shd w:val="clear" w:color="auto" w:fill="F2F2F2" w:themeFill="background1" w:themeFillShade="F2"/>
          </w:tcPr>
          <w:p w14:paraId="2441EFAC" w14:textId="77777777" w:rsidR="00E756EC" w:rsidRPr="00245D06" w:rsidRDefault="00E756EC" w:rsidP="00535EC7">
            <w:pPr>
              <w:pStyle w:val="NoSpacing"/>
              <w:jc w:val="center"/>
              <w:rPr>
                <w:rFonts w:ascii="Arial" w:hAnsi="Arial" w:cs="Arial"/>
                <w:sz w:val="18"/>
                <w:szCs w:val="18"/>
              </w:rPr>
            </w:pPr>
            <w:r w:rsidRPr="00245D06">
              <w:rPr>
                <w:rFonts w:ascii="Arial" w:hAnsi="Arial" w:cs="Arial"/>
                <w:sz w:val="18"/>
                <w:szCs w:val="18"/>
              </w:rPr>
              <w:t>1.2 x Individual Commission Rate</w:t>
            </w:r>
          </w:p>
        </w:tc>
      </w:tr>
      <w:tr w:rsidR="00E756EC" w:rsidRPr="00245D06" w14:paraId="06EF142B" w14:textId="77777777" w:rsidTr="00324164">
        <w:trPr>
          <w:trHeight w:val="125"/>
        </w:trPr>
        <w:tc>
          <w:tcPr>
            <w:tcW w:w="1980" w:type="dxa"/>
            <w:shd w:val="clear" w:color="auto" w:fill="F2F2F2" w:themeFill="background1" w:themeFillShade="F2"/>
          </w:tcPr>
          <w:p w14:paraId="276FC77A" w14:textId="77777777" w:rsidR="00E756EC" w:rsidRPr="00245D06" w:rsidRDefault="00E756EC" w:rsidP="00535EC7">
            <w:pPr>
              <w:pStyle w:val="NoSpacing"/>
              <w:jc w:val="center"/>
              <w:rPr>
                <w:rFonts w:ascii="Arial" w:hAnsi="Arial" w:cs="Arial"/>
                <w:sz w:val="18"/>
                <w:szCs w:val="18"/>
              </w:rPr>
            </w:pPr>
            <w:r w:rsidRPr="00245D06">
              <w:rPr>
                <w:rFonts w:ascii="Arial" w:hAnsi="Arial" w:cs="Arial"/>
                <w:sz w:val="18"/>
                <w:szCs w:val="18"/>
              </w:rPr>
              <w:t>100% - &lt;140%</w:t>
            </w:r>
          </w:p>
        </w:tc>
        <w:tc>
          <w:tcPr>
            <w:tcW w:w="3357" w:type="dxa"/>
            <w:shd w:val="clear" w:color="auto" w:fill="F2F2F2" w:themeFill="background1" w:themeFillShade="F2"/>
          </w:tcPr>
          <w:p w14:paraId="064457F5" w14:textId="77777777" w:rsidR="00E756EC" w:rsidRPr="00245D06" w:rsidRDefault="00E756EC" w:rsidP="00535EC7">
            <w:pPr>
              <w:pStyle w:val="NoSpacing"/>
              <w:jc w:val="center"/>
              <w:rPr>
                <w:rFonts w:ascii="Arial" w:hAnsi="Arial" w:cs="Arial"/>
                <w:sz w:val="18"/>
                <w:szCs w:val="18"/>
              </w:rPr>
            </w:pPr>
            <w:r w:rsidRPr="00245D06">
              <w:rPr>
                <w:rFonts w:ascii="Arial" w:hAnsi="Arial" w:cs="Arial"/>
                <w:sz w:val="18"/>
                <w:szCs w:val="18"/>
              </w:rPr>
              <w:t>1.5 x Individual Commission Rate</w:t>
            </w:r>
          </w:p>
        </w:tc>
      </w:tr>
      <w:tr w:rsidR="00E756EC" w:rsidRPr="00245D06" w14:paraId="03EED6C0" w14:textId="77777777" w:rsidTr="00324164">
        <w:trPr>
          <w:trHeight w:val="125"/>
        </w:trPr>
        <w:tc>
          <w:tcPr>
            <w:tcW w:w="1980" w:type="dxa"/>
            <w:shd w:val="clear" w:color="auto" w:fill="F2F2F2" w:themeFill="background1" w:themeFillShade="F2"/>
          </w:tcPr>
          <w:p w14:paraId="1CE57803" w14:textId="77777777" w:rsidR="00E756EC" w:rsidRPr="00245D06" w:rsidRDefault="00E756EC" w:rsidP="00535EC7">
            <w:pPr>
              <w:pStyle w:val="NoSpacing"/>
              <w:jc w:val="center"/>
              <w:rPr>
                <w:rFonts w:ascii="Arial" w:hAnsi="Arial" w:cs="Arial"/>
                <w:sz w:val="18"/>
                <w:szCs w:val="18"/>
              </w:rPr>
            </w:pPr>
            <w:r w:rsidRPr="00245D06">
              <w:rPr>
                <w:rFonts w:ascii="Arial" w:hAnsi="Arial" w:cs="Arial"/>
                <w:sz w:val="18"/>
                <w:szCs w:val="18"/>
              </w:rPr>
              <w:t>&gt;=140%</w:t>
            </w:r>
          </w:p>
        </w:tc>
        <w:tc>
          <w:tcPr>
            <w:tcW w:w="3357" w:type="dxa"/>
            <w:shd w:val="clear" w:color="auto" w:fill="F2F2F2" w:themeFill="background1" w:themeFillShade="F2"/>
          </w:tcPr>
          <w:p w14:paraId="2A39BC05" w14:textId="77777777" w:rsidR="00E756EC" w:rsidRPr="00245D06" w:rsidRDefault="00E756EC" w:rsidP="00535EC7">
            <w:pPr>
              <w:pStyle w:val="NoSpacing"/>
              <w:jc w:val="center"/>
              <w:rPr>
                <w:rFonts w:ascii="Arial" w:hAnsi="Arial" w:cs="Arial"/>
                <w:sz w:val="18"/>
                <w:szCs w:val="18"/>
              </w:rPr>
            </w:pPr>
            <w:r w:rsidRPr="00245D06">
              <w:rPr>
                <w:rFonts w:ascii="Arial" w:hAnsi="Arial" w:cs="Arial"/>
                <w:sz w:val="18"/>
                <w:szCs w:val="18"/>
              </w:rPr>
              <w:t>2.0 x Individual Commission Rate</w:t>
            </w:r>
          </w:p>
        </w:tc>
      </w:tr>
    </w:tbl>
    <w:p w14:paraId="7CB12970" w14:textId="5E8D1524" w:rsidR="00E756EC" w:rsidRDefault="00245D06" w:rsidP="009628DC">
      <w:pPr>
        <w:pStyle w:val="NoSpacing"/>
        <w:spacing w:before="120" w:after="120"/>
        <w:ind w:left="180"/>
        <w:jc w:val="center"/>
        <w:rPr>
          <w:rFonts w:ascii="Arial" w:hAnsi="Arial" w:cs="Arial"/>
        </w:rPr>
      </w:pPr>
      <w:r w:rsidRPr="00082235">
        <w:rPr>
          <w:rFonts w:ascii="Arial" w:hAnsi="Arial" w:cs="Arial"/>
          <w:noProof/>
        </w:rPr>
        <mc:AlternateContent>
          <mc:Choice Requires="wps">
            <w:drawing>
              <wp:anchor distT="0" distB="0" distL="114300" distR="114300" simplePos="0" relativeHeight="251668480" behindDoc="0" locked="0" layoutInCell="1" allowOverlap="1" wp14:anchorId="38405150" wp14:editId="3135F269">
                <wp:simplePos x="0" y="0"/>
                <wp:positionH relativeFrom="column">
                  <wp:posOffset>2591435</wp:posOffset>
                </wp:positionH>
                <wp:positionV relativeFrom="paragraph">
                  <wp:posOffset>1382662</wp:posOffset>
                </wp:positionV>
                <wp:extent cx="450215" cy="260985"/>
                <wp:effectExtent l="0" t="0" r="0" b="0"/>
                <wp:wrapNone/>
                <wp:docPr id="204352530" name="TextBox 12"/>
                <wp:cNvGraphicFramePr/>
                <a:graphic xmlns:a="http://schemas.openxmlformats.org/drawingml/2006/main">
                  <a:graphicData uri="http://schemas.microsoft.com/office/word/2010/wordprocessingShape">
                    <wps:wsp>
                      <wps:cNvSpPr txBox="1"/>
                      <wps:spPr>
                        <a:xfrm>
                          <a:off x="0" y="0"/>
                          <a:ext cx="450215" cy="260985"/>
                        </a:xfrm>
                        <a:prstGeom prst="rect">
                          <a:avLst/>
                        </a:prstGeom>
                        <a:noFill/>
                      </wps:spPr>
                      <wps:txbx>
                        <w:txbxContent>
                          <w:p w14:paraId="3925E924" w14:textId="77777777" w:rsidR="00E756EC" w:rsidRDefault="00E756EC" w:rsidP="00E756EC">
                            <w:pPr>
                              <w:pStyle w:val="NormalWeb"/>
                              <w:spacing w:before="0" w:beforeAutospacing="0" w:after="0" w:afterAutospacing="0"/>
                            </w:pPr>
                            <w:r>
                              <w:rPr>
                                <w:rFonts w:asciiTheme="minorHAnsi" w:hAnsi="Calibri" w:cstheme="minorBidi"/>
                                <w:color w:val="000000" w:themeColor="text1"/>
                                <w:kern w:val="24"/>
                                <w:sz w:val="22"/>
                                <w:szCs w:val="22"/>
                              </w:rPr>
                              <w:t>1.2x</w:t>
                            </w:r>
                          </w:p>
                        </w:txbxContent>
                      </wps:txbx>
                      <wps:bodyPr wrap="none" rtlCol="0">
                        <a:spAutoFit/>
                      </wps:bodyPr>
                    </wps:wsp>
                  </a:graphicData>
                </a:graphic>
              </wp:anchor>
            </w:drawing>
          </mc:Choice>
          <mc:Fallback>
            <w:pict>
              <v:shapetype w14:anchorId="38405150" id="_x0000_t202" coordsize="21600,21600" o:spt="202" path="m,l,21600r21600,l21600,xe">
                <v:stroke joinstyle="miter"/>
                <v:path gradientshapeok="t" o:connecttype="rect"/>
              </v:shapetype>
              <v:shape id="TextBox 12" o:spid="_x0000_s1026" type="#_x0000_t202" style="position:absolute;left:0;text-align:left;margin-left:204.05pt;margin-top:108.85pt;width:35.45pt;height:20.55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" filled="f" stroked="f">
                <v:textbox style="mso-fit-shape-to-text:t">
                  <w:txbxContent>
                    <w:p w14:paraId="3925E924" w14:textId="77777777" w:rsidR="00E756EC" w:rsidRDefault="00E756EC" w:rsidP="00E756EC">
                      <w:pPr>
                        <w:pStyle w:val="NormalWeb"/>
                        <w:spacing w:before="0" w:beforeAutospacing="0" w:after="0" w:afterAutospacing="0"/>
                      </w:pPr>
                      <w:r>
                        <w:rPr>
                          <w:rFonts w:asciiTheme="minorHAnsi" w:hAnsi="Calibri" w:cstheme="minorBidi"/>
                          <w:color w:val="000000" w:themeColor="text1"/>
                          <w:kern w:val="24"/>
                          <w:sz w:val="22"/>
                          <w:szCs w:val="22"/>
                        </w:rPr>
                        <w:t>1.2x</w:t>
                      </w:r>
                    </w:p>
                  </w:txbxContent>
                </v:textbox>
              </v:shape>
            </w:pict>
          </mc:Fallback>
        </mc:AlternateContent>
      </w:r>
      <w:r w:rsidRPr="00082235">
        <w:rPr>
          <w:rFonts w:ascii="Arial" w:hAnsi="Arial" w:cs="Arial"/>
          <w:noProof/>
        </w:rPr>
        <mc:AlternateContent>
          <mc:Choice Requires="wps">
            <w:drawing>
              <wp:anchor distT="0" distB="0" distL="114300" distR="114300" simplePos="0" relativeHeight="251665408" behindDoc="0" locked="0" layoutInCell="1" allowOverlap="1" wp14:anchorId="2BE696EB" wp14:editId="6570E323">
                <wp:simplePos x="0" y="0"/>
                <wp:positionH relativeFrom="column">
                  <wp:posOffset>2222233</wp:posOffset>
                </wp:positionH>
                <wp:positionV relativeFrom="paragraph">
                  <wp:posOffset>1593215</wp:posOffset>
                </wp:positionV>
                <wp:extent cx="372110" cy="260985"/>
                <wp:effectExtent l="0" t="0" r="0" b="0"/>
                <wp:wrapNone/>
                <wp:docPr id="1612902305" name="TextBox 2"/>
                <wp:cNvGraphicFramePr/>
                <a:graphic xmlns:a="http://schemas.openxmlformats.org/drawingml/2006/main">
                  <a:graphicData uri="http://schemas.microsoft.com/office/word/2010/wordprocessingShape">
                    <wps:wsp>
                      <wps:cNvSpPr txBox="1"/>
                      <wps:spPr>
                        <a:xfrm>
                          <a:off x="0" y="0"/>
                          <a:ext cx="372110" cy="260985"/>
                        </a:xfrm>
                        <a:prstGeom prst="rect">
                          <a:avLst/>
                        </a:prstGeom>
                        <a:noFill/>
                      </wps:spPr>
                      <wps:txbx>
                        <w:txbxContent>
                          <w:p w14:paraId="23237873" w14:textId="77777777" w:rsidR="00E756EC" w:rsidRDefault="00E756EC" w:rsidP="00E756EC">
                            <w:pPr>
                              <w:pStyle w:val="NormalWeb"/>
                              <w:spacing w:before="0" w:beforeAutospacing="0" w:after="0" w:afterAutospacing="0"/>
                            </w:pPr>
                            <w:r>
                              <w:rPr>
                                <w:rFonts w:asciiTheme="minorHAnsi" w:hAnsi="Calibri" w:cstheme="minorBidi"/>
                                <w:color w:val="000000" w:themeColor="text1"/>
                                <w:kern w:val="24"/>
                                <w:sz w:val="22"/>
                                <w:szCs w:val="22"/>
                              </w:rPr>
                              <w:t>.8x</w:t>
                            </w:r>
                          </w:p>
                        </w:txbxContent>
                      </wps:txbx>
                      <wps:bodyPr wrap="none" rtlCol="0">
                        <a:spAutoFit/>
                      </wps:bodyPr>
                    </wps:wsp>
                  </a:graphicData>
                </a:graphic>
              </wp:anchor>
            </w:drawing>
          </mc:Choice>
          <mc:Fallback>
            <w:pict>
              <v:shape w14:anchorId="2BE696EB" id="TextBox 2" o:spid="_x0000_s1027" type="#_x0000_t202" style="position:absolute;left:0;text-align:left;margin-left:175pt;margin-top:125.45pt;width:29.3pt;height:20.5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" filled="f" stroked="f">
                <v:textbox style="mso-fit-shape-to-text:t">
                  <w:txbxContent>
                    <w:p w14:paraId="23237873" w14:textId="77777777" w:rsidR="00E756EC" w:rsidRDefault="00E756EC" w:rsidP="00E756EC">
                      <w:pPr>
                        <w:pStyle w:val="NormalWeb"/>
                        <w:spacing w:before="0" w:beforeAutospacing="0" w:after="0" w:afterAutospacing="0"/>
                      </w:pPr>
                      <w:r>
                        <w:rPr>
                          <w:rFonts w:asciiTheme="minorHAnsi" w:hAnsi="Calibri" w:cstheme="minorBidi"/>
                          <w:color w:val="000000" w:themeColor="text1"/>
                          <w:kern w:val="24"/>
                          <w:sz w:val="22"/>
                          <w:szCs w:val="22"/>
                        </w:rPr>
                        <w:t>.8x</w:t>
                      </w:r>
                    </w:p>
                  </w:txbxContent>
                </v:textbox>
              </v:shape>
            </w:pict>
          </mc:Fallback>
        </mc:AlternateContent>
      </w:r>
      <w:r w:rsidR="00324164" w:rsidRPr="00082235">
        <w:rPr>
          <w:rFonts w:ascii="Arial" w:hAnsi="Arial" w:cs="Arial"/>
          <w:noProof/>
        </w:rPr>
        <mc:AlternateContent>
          <mc:Choice Requires="wps">
            <w:drawing>
              <wp:anchor distT="0" distB="0" distL="114300" distR="114300" simplePos="0" relativeHeight="251666432" behindDoc="0" locked="0" layoutInCell="1" allowOverlap="1" wp14:anchorId="16BCFA6D" wp14:editId="0B83931F">
                <wp:simplePos x="0" y="0"/>
                <wp:positionH relativeFrom="column">
                  <wp:posOffset>3774206</wp:posOffset>
                </wp:positionH>
                <wp:positionV relativeFrom="paragraph">
                  <wp:posOffset>528320</wp:posOffset>
                </wp:positionV>
                <wp:extent cx="333375" cy="260985"/>
                <wp:effectExtent l="0" t="0" r="0" b="0"/>
                <wp:wrapNone/>
                <wp:docPr id="763990205" name="TextBox 7"/>
                <wp:cNvGraphicFramePr/>
                <a:graphic xmlns:a="http://schemas.openxmlformats.org/drawingml/2006/main">
                  <a:graphicData uri="http://schemas.microsoft.com/office/word/2010/wordprocessingShape">
                    <wps:wsp>
                      <wps:cNvSpPr txBox="1"/>
                      <wps:spPr>
                        <a:xfrm>
                          <a:off x="0" y="0"/>
                          <a:ext cx="333375" cy="260985"/>
                        </a:xfrm>
                        <a:prstGeom prst="rect">
                          <a:avLst/>
                        </a:prstGeom>
                        <a:noFill/>
                      </wps:spPr>
                      <wps:txbx>
                        <w:txbxContent>
                          <w:p w14:paraId="2E58921B" w14:textId="77777777" w:rsidR="00E756EC" w:rsidRDefault="00E756EC" w:rsidP="00E756EC">
                            <w:pPr>
                              <w:pStyle w:val="NormalWeb"/>
                              <w:spacing w:before="0" w:beforeAutospacing="0" w:after="0" w:afterAutospacing="0"/>
                            </w:pPr>
                            <w:r>
                              <w:rPr>
                                <w:rFonts w:asciiTheme="minorHAnsi" w:hAnsi="Calibri" w:cstheme="minorBidi"/>
                                <w:color w:val="000000" w:themeColor="text1"/>
                                <w:kern w:val="24"/>
                                <w:sz w:val="22"/>
                                <w:szCs w:val="22"/>
                              </w:rPr>
                              <w:t>2x</w:t>
                            </w:r>
                          </w:p>
                        </w:txbxContent>
                      </wps:txbx>
                      <wps:bodyPr wrap="none" rtlCol="0">
                        <a:spAutoFit/>
                      </wps:bodyPr>
                    </wps:wsp>
                  </a:graphicData>
                </a:graphic>
              </wp:anchor>
            </w:drawing>
          </mc:Choice>
          <mc:Fallback>
            <w:pict>
              <v:shape w14:anchorId="16BCFA6D" id="TextBox 7" o:spid="_x0000_s1028" type="#_x0000_t202" style="position:absolute;left:0;text-align:left;margin-left:297.2pt;margin-top:41.6pt;width:26.25pt;height:20.55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" filled="f" stroked="f">
                <v:textbox style="mso-fit-shape-to-text:t">
                  <w:txbxContent>
                    <w:p w14:paraId="2E58921B" w14:textId="77777777" w:rsidR="00E756EC" w:rsidRDefault="00E756EC" w:rsidP="00E756EC">
                      <w:pPr>
                        <w:pStyle w:val="NormalWeb"/>
                        <w:spacing w:before="0" w:beforeAutospacing="0" w:after="0" w:afterAutospacing="0"/>
                      </w:pPr>
                      <w:r>
                        <w:rPr>
                          <w:rFonts w:asciiTheme="minorHAnsi" w:hAnsi="Calibri" w:cstheme="minorBidi"/>
                          <w:color w:val="000000" w:themeColor="text1"/>
                          <w:kern w:val="24"/>
                          <w:sz w:val="22"/>
                          <w:szCs w:val="22"/>
                        </w:rPr>
                        <w:t>2x</w:t>
                      </w:r>
                    </w:p>
                  </w:txbxContent>
                </v:textbox>
              </v:shape>
            </w:pict>
          </mc:Fallback>
        </mc:AlternateContent>
      </w:r>
      <w:r w:rsidR="00324164" w:rsidRPr="00082235">
        <w:rPr>
          <w:rFonts w:ascii="Arial" w:hAnsi="Arial" w:cs="Arial"/>
          <w:noProof/>
        </w:rPr>
        <mc:AlternateContent>
          <mc:Choice Requires="wps">
            <w:drawing>
              <wp:anchor distT="0" distB="0" distL="114300" distR="114300" simplePos="0" relativeHeight="251667456" behindDoc="0" locked="0" layoutInCell="1" allowOverlap="1" wp14:anchorId="3873C485" wp14:editId="0097A489">
                <wp:simplePos x="0" y="0"/>
                <wp:positionH relativeFrom="column">
                  <wp:posOffset>3016484</wp:posOffset>
                </wp:positionH>
                <wp:positionV relativeFrom="paragraph">
                  <wp:posOffset>1102995</wp:posOffset>
                </wp:positionV>
                <wp:extent cx="450215" cy="260985"/>
                <wp:effectExtent l="0" t="0" r="0" b="0"/>
                <wp:wrapNone/>
                <wp:docPr id="809104078" name="TextBox 10"/>
                <wp:cNvGraphicFramePr/>
                <a:graphic xmlns:a="http://schemas.openxmlformats.org/drawingml/2006/main">
                  <a:graphicData uri="http://schemas.microsoft.com/office/word/2010/wordprocessingShape">
                    <wps:wsp>
                      <wps:cNvSpPr txBox="1"/>
                      <wps:spPr>
                        <a:xfrm>
                          <a:off x="0" y="0"/>
                          <a:ext cx="450215" cy="260985"/>
                        </a:xfrm>
                        <a:prstGeom prst="rect">
                          <a:avLst/>
                        </a:prstGeom>
                        <a:noFill/>
                      </wps:spPr>
                      <wps:txbx>
                        <w:txbxContent>
                          <w:p w14:paraId="59C4B4EB" w14:textId="77777777" w:rsidR="00E756EC" w:rsidRDefault="00E756EC" w:rsidP="00E756EC">
                            <w:pPr>
                              <w:pStyle w:val="NormalWeb"/>
                              <w:spacing w:before="0" w:beforeAutospacing="0" w:after="0" w:afterAutospacing="0"/>
                            </w:pPr>
                            <w:r>
                              <w:rPr>
                                <w:rFonts w:asciiTheme="minorHAnsi" w:hAnsi="Calibri" w:cstheme="minorBidi"/>
                                <w:color w:val="000000" w:themeColor="text1"/>
                                <w:kern w:val="24"/>
                                <w:sz w:val="22"/>
                                <w:szCs w:val="22"/>
                              </w:rPr>
                              <w:t>1.5x</w:t>
                            </w:r>
                          </w:p>
                        </w:txbxContent>
                      </wps:txbx>
                      <wps:bodyPr wrap="none" rtlCol="0">
                        <a:spAutoFit/>
                      </wps:bodyPr>
                    </wps:wsp>
                  </a:graphicData>
                </a:graphic>
              </wp:anchor>
            </w:drawing>
          </mc:Choice>
          <mc:Fallback>
            <w:pict>
              <v:shape w14:anchorId="3873C485" id="TextBox 10" o:spid="_x0000_s1029" type="#_x0000_t202" style="position:absolute;left:0;text-align:left;margin-left:237.5pt;margin-top:86.85pt;width:35.45pt;height:20.5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" filled="f" stroked="f">
                <v:textbox style="mso-fit-shape-to-text:t">
                  <w:txbxContent>
                    <w:p w14:paraId="59C4B4EB" w14:textId="77777777" w:rsidR="00E756EC" w:rsidRDefault="00E756EC" w:rsidP="00E756EC">
                      <w:pPr>
                        <w:pStyle w:val="NormalWeb"/>
                        <w:spacing w:before="0" w:beforeAutospacing="0" w:after="0" w:afterAutospacing="0"/>
                      </w:pPr>
                      <w:r>
                        <w:rPr>
                          <w:rFonts w:asciiTheme="minorHAnsi" w:hAnsi="Calibri" w:cstheme="minorBidi"/>
                          <w:color w:val="000000" w:themeColor="text1"/>
                          <w:kern w:val="24"/>
                          <w:sz w:val="22"/>
                          <w:szCs w:val="22"/>
                        </w:rPr>
                        <w:t>1.5x</w:t>
                      </w:r>
                    </w:p>
                  </w:txbxContent>
                </v:textbox>
              </v:shape>
            </w:pict>
          </mc:Fallback>
        </mc:AlternateContent>
      </w:r>
      <w:r w:rsidR="009628DC" w:rsidRPr="00082235">
        <w:rPr>
          <w:rFonts w:ascii="Arial" w:hAnsi="Arial" w:cs="Arial"/>
          <w:noProof/>
        </w:rPr>
        <w:drawing>
          <wp:inline distT="0" distB="0" distL="0" distR="0" wp14:anchorId="44FECA13" wp14:editId="3D8656F7">
            <wp:extent cx="3375498" cy="2363821"/>
            <wp:effectExtent l="0" t="0" r="15875" b="11430"/>
            <wp:docPr id="1226640311" name="Chart 12266403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38F958A" w14:textId="1812C92A" w:rsidR="00E756EC" w:rsidRDefault="00E756EC" w:rsidP="00E756EC">
      <w:pPr>
        <w:pStyle w:val="NoSpacing"/>
        <w:spacing w:before="120" w:after="120"/>
        <w:rPr>
          <w:rFonts w:ascii="Arial" w:hAnsi="Arial" w:cs="Arial"/>
        </w:rPr>
      </w:pPr>
      <w:r>
        <w:rPr>
          <w:rFonts w:ascii="Arial" w:hAnsi="Arial" w:cs="Arial"/>
        </w:rPr>
        <w:t xml:space="preserve">Your quarterly payouts are calculated and paid each quarter based on your quarterly </w:t>
      </w:r>
      <w:r w:rsidR="005A483B">
        <w:rPr>
          <w:rFonts w:ascii="Arial" w:hAnsi="Arial" w:cs="Arial"/>
        </w:rPr>
        <w:t>contribution</w:t>
      </w:r>
      <w:r>
        <w:rPr>
          <w:rFonts w:ascii="Arial" w:hAnsi="Arial" w:cs="Arial"/>
        </w:rPr>
        <w:t xml:space="preserve"> to your annual quota.</w:t>
      </w:r>
    </w:p>
    <w:p w14:paraId="77C0D63F" w14:textId="77777777" w:rsidR="00E756EC" w:rsidRDefault="00E756EC" w:rsidP="00E756EC">
      <w:pPr>
        <w:pStyle w:val="NoSpacing"/>
        <w:spacing w:before="120" w:after="120"/>
        <w:rPr>
          <w:rFonts w:ascii="Arial" w:hAnsi="Arial" w:cs="Arial"/>
        </w:rPr>
      </w:pPr>
    </w:p>
    <w:p w14:paraId="551043A6" w14:textId="39A15575" w:rsidR="009628DC" w:rsidRPr="00324164" w:rsidRDefault="009628DC" w:rsidP="00E756EC">
      <w:pPr>
        <w:pStyle w:val="NoSpacing"/>
        <w:spacing w:before="120" w:after="120"/>
        <w:rPr>
          <w:rFonts w:ascii="Arial" w:hAnsi="Arial" w:cs="Arial"/>
          <w:i/>
          <w:iCs/>
          <w:color w:val="235043"/>
          <w:sz w:val="24"/>
          <w:szCs w:val="24"/>
        </w:rPr>
      </w:pPr>
      <w:r w:rsidRPr="00324164">
        <w:rPr>
          <w:rFonts w:ascii="Arial" w:hAnsi="Arial" w:cs="Arial"/>
          <w:i/>
          <w:iCs/>
          <w:color w:val="235043"/>
          <w:sz w:val="24"/>
          <w:szCs w:val="24"/>
        </w:rPr>
        <w:t>Calculation</w:t>
      </w:r>
      <w:r w:rsidR="00C63F6F" w:rsidRPr="00324164">
        <w:rPr>
          <w:rFonts w:ascii="Arial" w:hAnsi="Arial" w:cs="Arial"/>
          <w:i/>
          <w:iCs/>
          <w:color w:val="235043"/>
          <w:sz w:val="24"/>
          <w:szCs w:val="24"/>
        </w:rPr>
        <w:t xml:space="preserve"> e</w:t>
      </w:r>
      <w:r w:rsidRPr="00324164">
        <w:rPr>
          <w:rFonts w:ascii="Arial" w:hAnsi="Arial" w:cs="Arial"/>
          <w:i/>
          <w:iCs/>
          <w:color w:val="235043"/>
          <w:sz w:val="24"/>
          <w:szCs w:val="24"/>
        </w:rPr>
        <w:t>xample:</w:t>
      </w:r>
    </w:p>
    <w:p w14:paraId="0809DBC1" w14:textId="77777777" w:rsidR="00E756EC" w:rsidRDefault="00E756EC" w:rsidP="009628DC">
      <w:pPr>
        <w:pStyle w:val="NoSpacing"/>
        <w:spacing w:before="120" w:after="120"/>
        <w:jc w:val="center"/>
        <w:rPr>
          <w:rFonts w:ascii="Arial" w:hAnsi="Arial" w:cs="Arial"/>
          <w:b/>
        </w:rPr>
      </w:pPr>
      <w:r>
        <w:rPr>
          <w:rFonts w:ascii="Arial" w:hAnsi="Arial" w:cs="Arial"/>
          <w:b/>
        </w:rPr>
        <w:t>Assumptions:</w:t>
      </w:r>
    </w:p>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09"/>
        <w:gridCol w:w="1890"/>
      </w:tblGrid>
      <w:tr w:rsidR="00E756EC" w14:paraId="53336A7D" w14:textId="77777777" w:rsidTr="00324164">
        <w:trPr>
          <w:jc w:val="center"/>
        </w:trPr>
        <w:tc>
          <w:tcPr>
            <w:tcW w:w="3109" w:type="dxa"/>
            <w:shd w:val="clear" w:color="auto" w:fill="235043"/>
          </w:tcPr>
          <w:p w14:paraId="7D40291E" w14:textId="0D63F5D4" w:rsidR="00E756EC" w:rsidRDefault="00E756EC" w:rsidP="00324164">
            <w:pPr>
              <w:pStyle w:val="NoSpacing"/>
              <w:rPr>
                <w:rFonts w:ascii="Arial" w:hAnsi="Arial" w:cs="Arial"/>
                <w:b/>
                <w:color w:val="FFFFFF" w:themeColor="background1"/>
                <w:sz w:val="18"/>
                <w:szCs w:val="18"/>
              </w:rPr>
            </w:pPr>
            <w:r>
              <w:rPr>
                <w:rFonts w:ascii="Arial" w:hAnsi="Arial" w:cs="Arial"/>
                <w:b/>
                <w:color w:val="FFFFFF" w:themeColor="background1"/>
                <w:sz w:val="18"/>
                <w:szCs w:val="18"/>
              </w:rPr>
              <w:t xml:space="preserve">Annual </w:t>
            </w:r>
            <w:r w:rsidR="00525CB9">
              <w:rPr>
                <w:rFonts w:ascii="Arial" w:hAnsi="Arial" w:cs="Arial"/>
                <w:b/>
                <w:color w:val="FFFFFF" w:themeColor="background1"/>
                <w:sz w:val="18"/>
                <w:szCs w:val="18"/>
              </w:rPr>
              <w:t>t</w:t>
            </w:r>
            <w:r>
              <w:rPr>
                <w:rFonts w:ascii="Arial" w:hAnsi="Arial" w:cs="Arial"/>
                <w:b/>
                <w:color w:val="FFFFFF" w:themeColor="background1"/>
                <w:sz w:val="18"/>
                <w:szCs w:val="18"/>
              </w:rPr>
              <w:t xml:space="preserve">arget </w:t>
            </w:r>
            <w:r w:rsidR="00525CB9">
              <w:rPr>
                <w:rFonts w:ascii="Arial" w:hAnsi="Arial" w:cs="Arial"/>
                <w:b/>
                <w:color w:val="FFFFFF" w:themeColor="background1"/>
                <w:sz w:val="18"/>
                <w:szCs w:val="18"/>
              </w:rPr>
              <w:t>i</w:t>
            </w:r>
            <w:r>
              <w:rPr>
                <w:rFonts w:ascii="Arial" w:hAnsi="Arial" w:cs="Arial"/>
                <w:b/>
                <w:color w:val="FFFFFF" w:themeColor="background1"/>
                <w:sz w:val="18"/>
                <w:szCs w:val="18"/>
              </w:rPr>
              <w:t>ncentive</w:t>
            </w:r>
          </w:p>
        </w:tc>
        <w:tc>
          <w:tcPr>
            <w:tcW w:w="1890" w:type="dxa"/>
            <w:shd w:val="clear" w:color="auto" w:fill="F2F2F2" w:themeFill="background1" w:themeFillShade="F2"/>
          </w:tcPr>
          <w:p w14:paraId="217651F8" w14:textId="77777777" w:rsidR="00E756EC" w:rsidRDefault="00E756EC" w:rsidP="009628DC">
            <w:pPr>
              <w:pStyle w:val="NoSpacing"/>
              <w:jc w:val="center"/>
              <w:rPr>
                <w:rFonts w:ascii="Arial" w:hAnsi="Arial" w:cs="Arial"/>
                <w:sz w:val="18"/>
                <w:szCs w:val="18"/>
              </w:rPr>
            </w:pPr>
            <w:r>
              <w:rPr>
                <w:rFonts w:ascii="Arial" w:hAnsi="Arial" w:cs="Arial"/>
                <w:sz w:val="18"/>
                <w:szCs w:val="18"/>
              </w:rPr>
              <w:t>$100,000</w:t>
            </w:r>
          </w:p>
        </w:tc>
      </w:tr>
      <w:tr w:rsidR="00E756EC" w14:paraId="53C336E7" w14:textId="77777777" w:rsidTr="00324164">
        <w:trPr>
          <w:jc w:val="center"/>
        </w:trPr>
        <w:tc>
          <w:tcPr>
            <w:tcW w:w="3109" w:type="dxa"/>
            <w:shd w:val="clear" w:color="auto" w:fill="235043"/>
          </w:tcPr>
          <w:p w14:paraId="76891D9D" w14:textId="2D70F416" w:rsidR="00E756EC" w:rsidRDefault="00E756EC" w:rsidP="00324164">
            <w:pPr>
              <w:pStyle w:val="NoSpacing"/>
              <w:rPr>
                <w:rFonts w:ascii="Arial" w:hAnsi="Arial" w:cs="Arial"/>
                <w:b/>
                <w:color w:val="FFFFFF" w:themeColor="background1"/>
                <w:sz w:val="18"/>
                <w:szCs w:val="18"/>
              </w:rPr>
            </w:pPr>
            <w:r>
              <w:rPr>
                <w:rFonts w:ascii="Arial" w:hAnsi="Arial" w:cs="Arial"/>
                <w:b/>
                <w:color w:val="FFFFFF" w:themeColor="background1"/>
                <w:sz w:val="18"/>
                <w:szCs w:val="18"/>
              </w:rPr>
              <w:t xml:space="preserve">Annual </w:t>
            </w:r>
            <w:r w:rsidR="00525CB9">
              <w:rPr>
                <w:rFonts w:ascii="Arial" w:hAnsi="Arial" w:cs="Arial"/>
                <w:b/>
                <w:color w:val="FFFFFF" w:themeColor="background1"/>
                <w:sz w:val="18"/>
                <w:szCs w:val="18"/>
              </w:rPr>
              <w:t>q</w:t>
            </w:r>
            <w:r>
              <w:rPr>
                <w:rFonts w:ascii="Arial" w:hAnsi="Arial" w:cs="Arial"/>
                <w:b/>
                <w:color w:val="FFFFFF" w:themeColor="background1"/>
                <w:sz w:val="18"/>
                <w:szCs w:val="18"/>
              </w:rPr>
              <w:t>uota</w:t>
            </w:r>
          </w:p>
        </w:tc>
        <w:tc>
          <w:tcPr>
            <w:tcW w:w="1890" w:type="dxa"/>
            <w:shd w:val="clear" w:color="auto" w:fill="F2F2F2" w:themeFill="background1" w:themeFillShade="F2"/>
          </w:tcPr>
          <w:p w14:paraId="054218EF" w14:textId="77777777" w:rsidR="00E756EC" w:rsidRDefault="00E756EC" w:rsidP="009628DC">
            <w:pPr>
              <w:pStyle w:val="NoSpacing"/>
              <w:jc w:val="center"/>
              <w:rPr>
                <w:rFonts w:ascii="Arial" w:hAnsi="Arial" w:cs="Arial"/>
                <w:sz w:val="18"/>
                <w:szCs w:val="18"/>
              </w:rPr>
            </w:pPr>
            <w:r>
              <w:rPr>
                <w:rFonts w:ascii="Arial" w:hAnsi="Arial" w:cs="Arial"/>
                <w:sz w:val="18"/>
                <w:szCs w:val="18"/>
              </w:rPr>
              <w:t>$1,650,000</w:t>
            </w:r>
          </w:p>
        </w:tc>
      </w:tr>
      <w:tr w:rsidR="00E756EC" w14:paraId="621A0281" w14:textId="77777777" w:rsidTr="00324164">
        <w:trPr>
          <w:jc w:val="center"/>
        </w:trPr>
        <w:tc>
          <w:tcPr>
            <w:tcW w:w="3109" w:type="dxa"/>
            <w:shd w:val="clear" w:color="auto" w:fill="235043"/>
          </w:tcPr>
          <w:p w14:paraId="031E30F6" w14:textId="7161D8CF" w:rsidR="00E756EC" w:rsidRDefault="00E756EC" w:rsidP="00324164">
            <w:pPr>
              <w:pStyle w:val="NoSpacing"/>
              <w:rPr>
                <w:rFonts w:ascii="Arial" w:hAnsi="Arial" w:cs="Arial"/>
                <w:b/>
                <w:color w:val="FFFFFF" w:themeColor="background1"/>
                <w:sz w:val="18"/>
                <w:szCs w:val="18"/>
              </w:rPr>
            </w:pPr>
            <w:r>
              <w:rPr>
                <w:rFonts w:ascii="Arial" w:hAnsi="Arial" w:cs="Arial"/>
                <w:b/>
                <w:color w:val="FFFFFF" w:themeColor="background1"/>
                <w:sz w:val="18"/>
                <w:szCs w:val="18"/>
              </w:rPr>
              <w:t xml:space="preserve">Annual </w:t>
            </w:r>
            <w:r w:rsidR="00525CB9">
              <w:rPr>
                <w:rFonts w:ascii="Arial" w:hAnsi="Arial" w:cs="Arial"/>
                <w:b/>
                <w:color w:val="FFFFFF" w:themeColor="background1"/>
                <w:sz w:val="18"/>
                <w:szCs w:val="18"/>
              </w:rPr>
              <w:t>p</w:t>
            </w:r>
            <w:r>
              <w:rPr>
                <w:rFonts w:ascii="Arial" w:hAnsi="Arial" w:cs="Arial"/>
                <w:b/>
                <w:color w:val="FFFFFF" w:themeColor="background1"/>
                <w:sz w:val="18"/>
                <w:szCs w:val="18"/>
              </w:rPr>
              <w:t>erformance</w:t>
            </w:r>
          </w:p>
        </w:tc>
        <w:tc>
          <w:tcPr>
            <w:tcW w:w="1890" w:type="dxa"/>
            <w:shd w:val="clear" w:color="auto" w:fill="F2F2F2" w:themeFill="background1" w:themeFillShade="F2"/>
          </w:tcPr>
          <w:p w14:paraId="3848F634" w14:textId="77777777" w:rsidR="00E756EC" w:rsidRDefault="00E756EC" w:rsidP="009628DC">
            <w:pPr>
              <w:pStyle w:val="NoSpacing"/>
              <w:jc w:val="center"/>
              <w:rPr>
                <w:rFonts w:ascii="Arial" w:hAnsi="Arial" w:cs="Arial"/>
                <w:sz w:val="18"/>
                <w:szCs w:val="18"/>
              </w:rPr>
            </w:pPr>
            <w:r>
              <w:rPr>
                <w:rFonts w:ascii="Arial" w:hAnsi="Arial" w:cs="Arial"/>
                <w:sz w:val="18"/>
                <w:szCs w:val="18"/>
              </w:rPr>
              <w:t>$1,800,000</w:t>
            </w:r>
          </w:p>
        </w:tc>
      </w:tr>
      <w:tr w:rsidR="00E756EC" w14:paraId="4B7E6D14" w14:textId="77777777" w:rsidTr="00324164">
        <w:trPr>
          <w:jc w:val="center"/>
        </w:trPr>
        <w:tc>
          <w:tcPr>
            <w:tcW w:w="3109" w:type="dxa"/>
            <w:shd w:val="clear" w:color="auto" w:fill="235043"/>
          </w:tcPr>
          <w:p w14:paraId="1ADF0900" w14:textId="77777777" w:rsidR="00E756EC" w:rsidRDefault="00E756EC" w:rsidP="00324164">
            <w:pPr>
              <w:pStyle w:val="NoSpacing"/>
              <w:rPr>
                <w:rFonts w:ascii="Arial" w:hAnsi="Arial" w:cs="Arial"/>
                <w:b/>
                <w:color w:val="FFFFFF" w:themeColor="background1"/>
                <w:sz w:val="18"/>
                <w:szCs w:val="18"/>
              </w:rPr>
            </w:pPr>
            <w:r>
              <w:rPr>
                <w:rFonts w:ascii="Arial" w:hAnsi="Arial" w:cs="Arial"/>
                <w:b/>
                <w:color w:val="FFFFFF" w:themeColor="background1"/>
                <w:sz w:val="18"/>
                <w:szCs w:val="18"/>
              </w:rPr>
              <w:t>Individual Commission Rate</w:t>
            </w:r>
          </w:p>
        </w:tc>
        <w:tc>
          <w:tcPr>
            <w:tcW w:w="1890" w:type="dxa"/>
            <w:shd w:val="clear" w:color="auto" w:fill="F2F2F2" w:themeFill="background1" w:themeFillShade="F2"/>
          </w:tcPr>
          <w:p w14:paraId="7968FB52" w14:textId="77777777" w:rsidR="00E756EC" w:rsidRDefault="00E756EC" w:rsidP="009628DC">
            <w:pPr>
              <w:pStyle w:val="NoSpacing"/>
              <w:jc w:val="center"/>
              <w:rPr>
                <w:rFonts w:ascii="Arial" w:hAnsi="Arial" w:cs="Arial"/>
                <w:sz w:val="18"/>
                <w:szCs w:val="18"/>
              </w:rPr>
            </w:pPr>
            <w:r>
              <w:rPr>
                <w:rFonts w:ascii="Arial" w:hAnsi="Arial" w:cs="Arial"/>
                <w:sz w:val="18"/>
                <w:szCs w:val="18"/>
              </w:rPr>
              <w:t>6.06%</w:t>
            </w:r>
          </w:p>
        </w:tc>
      </w:tr>
    </w:tbl>
    <w:p w14:paraId="4C2B6E82" w14:textId="77777777" w:rsidR="00E756EC" w:rsidRDefault="00E756EC" w:rsidP="009628DC">
      <w:pPr>
        <w:pStyle w:val="NoSpacing"/>
        <w:spacing w:before="120" w:after="120"/>
        <w:jc w:val="center"/>
        <w:rPr>
          <w:rFonts w:ascii="Arial" w:hAnsi="Arial" w:cs="Arial"/>
          <w:b/>
        </w:rPr>
      </w:pPr>
      <w:r>
        <w:rPr>
          <w:rFonts w:ascii="Arial" w:hAnsi="Arial" w:cs="Arial"/>
          <w:b/>
        </w:rPr>
        <w:t>Annual Payout Calculation:</w:t>
      </w:r>
    </w:p>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06"/>
        <w:gridCol w:w="1741"/>
        <w:gridCol w:w="2162"/>
        <w:gridCol w:w="1476"/>
      </w:tblGrid>
      <w:tr w:rsidR="00E756EC" w14:paraId="1F8DE092" w14:textId="77777777" w:rsidTr="00324164">
        <w:trPr>
          <w:trHeight w:val="206"/>
          <w:jc w:val="center"/>
        </w:trPr>
        <w:tc>
          <w:tcPr>
            <w:tcW w:w="1906" w:type="dxa"/>
            <w:shd w:val="clear" w:color="auto" w:fill="235043"/>
          </w:tcPr>
          <w:p w14:paraId="393B4DB0" w14:textId="6C877125" w:rsidR="00E756EC" w:rsidRDefault="00E756EC" w:rsidP="009628DC">
            <w:pPr>
              <w:pStyle w:val="NoSpacing"/>
              <w:jc w:val="center"/>
              <w:rPr>
                <w:rFonts w:ascii="Arial" w:hAnsi="Arial" w:cs="Arial"/>
                <w:b/>
                <w:color w:val="FFFFFF" w:themeColor="background1"/>
                <w:sz w:val="18"/>
              </w:rPr>
            </w:pPr>
            <w:r>
              <w:rPr>
                <w:rFonts w:ascii="Arial" w:hAnsi="Arial" w:cs="Arial"/>
                <w:b/>
                <w:color w:val="FFFFFF" w:themeColor="background1"/>
                <w:sz w:val="18"/>
              </w:rPr>
              <w:t xml:space="preserve">Quota </w:t>
            </w:r>
            <w:r w:rsidR="00525CB9">
              <w:rPr>
                <w:rFonts w:ascii="Arial" w:hAnsi="Arial" w:cs="Arial"/>
                <w:b/>
                <w:color w:val="FFFFFF" w:themeColor="background1"/>
                <w:sz w:val="18"/>
              </w:rPr>
              <w:t>a</w:t>
            </w:r>
            <w:r>
              <w:rPr>
                <w:rFonts w:ascii="Arial" w:hAnsi="Arial" w:cs="Arial"/>
                <w:b/>
                <w:color w:val="FFFFFF" w:themeColor="background1"/>
                <w:sz w:val="18"/>
              </w:rPr>
              <w:t>ttainment</w:t>
            </w:r>
          </w:p>
        </w:tc>
        <w:tc>
          <w:tcPr>
            <w:tcW w:w="1741" w:type="dxa"/>
            <w:shd w:val="clear" w:color="auto" w:fill="235043"/>
          </w:tcPr>
          <w:p w14:paraId="33203853" w14:textId="77777777" w:rsidR="00E756EC" w:rsidRDefault="00E756EC" w:rsidP="009628DC">
            <w:pPr>
              <w:pStyle w:val="NoSpacing"/>
              <w:jc w:val="center"/>
              <w:rPr>
                <w:rFonts w:ascii="Arial" w:hAnsi="Arial" w:cs="Arial"/>
                <w:b/>
                <w:color w:val="FFFFFF" w:themeColor="background1"/>
                <w:sz w:val="18"/>
              </w:rPr>
            </w:pPr>
            <w:r>
              <w:rPr>
                <w:rFonts w:ascii="Arial" w:hAnsi="Arial" w:cs="Arial"/>
                <w:b/>
                <w:color w:val="FFFFFF" w:themeColor="background1"/>
                <w:sz w:val="18"/>
              </w:rPr>
              <w:t>Performance</w:t>
            </w:r>
          </w:p>
        </w:tc>
        <w:tc>
          <w:tcPr>
            <w:tcW w:w="2162" w:type="dxa"/>
            <w:shd w:val="clear" w:color="auto" w:fill="235043"/>
          </w:tcPr>
          <w:p w14:paraId="761D8464" w14:textId="77777777" w:rsidR="00E756EC" w:rsidRDefault="00E756EC" w:rsidP="009628DC">
            <w:pPr>
              <w:pStyle w:val="NoSpacing"/>
              <w:jc w:val="center"/>
              <w:rPr>
                <w:rFonts w:ascii="Arial" w:hAnsi="Arial" w:cs="Arial"/>
                <w:b/>
                <w:color w:val="FFFFFF" w:themeColor="background1"/>
                <w:sz w:val="18"/>
              </w:rPr>
            </w:pPr>
            <w:r>
              <w:rPr>
                <w:rFonts w:ascii="Arial" w:hAnsi="Arial" w:cs="Arial"/>
                <w:b/>
                <w:color w:val="FFFFFF" w:themeColor="background1"/>
                <w:sz w:val="18"/>
              </w:rPr>
              <w:t>Rates</w:t>
            </w:r>
          </w:p>
        </w:tc>
        <w:tc>
          <w:tcPr>
            <w:tcW w:w="1476" w:type="dxa"/>
            <w:shd w:val="clear" w:color="auto" w:fill="235043"/>
          </w:tcPr>
          <w:p w14:paraId="656CF207" w14:textId="351DA58E" w:rsidR="00E756EC" w:rsidRDefault="00E756EC" w:rsidP="009628DC">
            <w:pPr>
              <w:pStyle w:val="NoSpacing"/>
              <w:jc w:val="center"/>
              <w:rPr>
                <w:rFonts w:ascii="Arial" w:hAnsi="Arial" w:cs="Arial"/>
                <w:b/>
                <w:color w:val="FFFFFF" w:themeColor="background1"/>
                <w:sz w:val="18"/>
              </w:rPr>
            </w:pPr>
            <w:r>
              <w:rPr>
                <w:rFonts w:ascii="Arial" w:hAnsi="Arial" w:cs="Arial"/>
                <w:b/>
                <w:color w:val="FFFFFF" w:themeColor="background1"/>
                <w:sz w:val="18"/>
              </w:rPr>
              <w:t xml:space="preserve">Incentive </w:t>
            </w:r>
            <w:proofErr w:type="gramStart"/>
            <w:r w:rsidR="00525CB9">
              <w:rPr>
                <w:rFonts w:ascii="Arial" w:hAnsi="Arial" w:cs="Arial"/>
                <w:b/>
                <w:color w:val="FFFFFF" w:themeColor="background1"/>
                <w:sz w:val="18"/>
              </w:rPr>
              <w:t>p</w:t>
            </w:r>
            <w:r>
              <w:rPr>
                <w:rFonts w:ascii="Arial" w:hAnsi="Arial" w:cs="Arial"/>
                <w:b/>
                <w:color w:val="FFFFFF" w:themeColor="background1"/>
                <w:sz w:val="18"/>
              </w:rPr>
              <w:t>ay</w:t>
            </w:r>
            <w:proofErr w:type="gramEnd"/>
          </w:p>
        </w:tc>
      </w:tr>
      <w:tr w:rsidR="00E756EC" w14:paraId="53924B86" w14:textId="77777777" w:rsidTr="00324164">
        <w:trPr>
          <w:trHeight w:val="60"/>
          <w:jc w:val="center"/>
        </w:trPr>
        <w:tc>
          <w:tcPr>
            <w:tcW w:w="1906" w:type="dxa"/>
            <w:shd w:val="clear" w:color="auto" w:fill="F2F2F2" w:themeFill="background1" w:themeFillShade="F2"/>
          </w:tcPr>
          <w:p w14:paraId="20ECF557" w14:textId="77777777" w:rsidR="00E756EC" w:rsidRDefault="00E756EC" w:rsidP="00324164">
            <w:pPr>
              <w:pStyle w:val="NoSpacing"/>
              <w:rPr>
                <w:rFonts w:ascii="Arial" w:hAnsi="Arial" w:cs="Arial"/>
                <w:sz w:val="18"/>
              </w:rPr>
            </w:pPr>
            <w:r>
              <w:rPr>
                <w:rFonts w:ascii="Arial" w:hAnsi="Arial" w:cs="Arial"/>
                <w:sz w:val="18"/>
              </w:rPr>
              <w:t>0% - &lt;50%</w:t>
            </w:r>
          </w:p>
        </w:tc>
        <w:tc>
          <w:tcPr>
            <w:tcW w:w="1741" w:type="dxa"/>
            <w:shd w:val="clear" w:color="auto" w:fill="F2F2F2" w:themeFill="background1" w:themeFillShade="F2"/>
            <w:vAlign w:val="center"/>
          </w:tcPr>
          <w:p w14:paraId="3D8CDC34" w14:textId="77777777" w:rsidR="00E756EC" w:rsidRDefault="00E756EC" w:rsidP="009628DC">
            <w:pPr>
              <w:jc w:val="center"/>
              <w:rPr>
                <w:rFonts w:ascii="Arial" w:hAnsi="Arial" w:cs="Arial"/>
                <w:color w:val="000000"/>
                <w:sz w:val="18"/>
              </w:rPr>
            </w:pPr>
            <w:r>
              <w:rPr>
                <w:rFonts w:ascii="Arial" w:hAnsi="Arial" w:cs="Arial"/>
                <w:color w:val="000000"/>
                <w:sz w:val="18"/>
              </w:rPr>
              <w:t>$825,000</w:t>
            </w:r>
          </w:p>
        </w:tc>
        <w:tc>
          <w:tcPr>
            <w:tcW w:w="2162" w:type="dxa"/>
            <w:shd w:val="clear" w:color="auto" w:fill="F2F2F2" w:themeFill="background1" w:themeFillShade="F2"/>
            <w:vAlign w:val="center"/>
          </w:tcPr>
          <w:p w14:paraId="5FE8894F" w14:textId="77777777" w:rsidR="00E756EC" w:rsidRPr="003516D7" w:rsidRDefault="00E756EC" w:rsidP="009628DC">
            <w:pPr>
              <w:pStyle w:val="ListParagraph"/>
              <w:ind w:left="0"/>
              <w:jc w:val="center"/>
              <w:rPr>
                <w:rFonts w:ascii="Arial" w:hAnsi="Arial" w:cs="Arial"/>
                <w:color w:val="000000"/>
                <w:sz w:val="18"/>
                <w:szCs w:val="18"/>
              </w:rPr>
            </w:pPr>
            <w:r>
              <w:rPr>
                <w:rFonts w:ascii="Arial" w:hAnsi="Arial" w:cs="Arial"/>
                <w:color w:val="000000"/>
                <w:sz w:val="18"/>
                <w:szCs w:val="18"/>
              </w:rPr>
              <w:t>4.85% (.8 x 6.06%)</w:t>
            </w:r>
          </w:p>
        </w:tc>
        <w:tc>
          <w:tcPr>
            <w:tcW w:w="1476" w:type="dxa"/>
            <w:shd w:val="clear" w:color="auto" w:fill="F2F2F2" w:themeFill="background1" w:themeFillShade="F2"/>
            <w:vAlign w:val="center"/>
          </w:tcPr>
          <w:p w14:paraId="76E89468" w14:textId="6CD8A76A" w:rsidR="00E756EC" w:rsidRDefault="00E756EC" w:rsidP="009628DC">
            <w:pPr>
              <w:jc w:val="center"/>
              <w:rPr>
                <w:rFonts w:ascii="Arial" w:hAnsi="Arial" w:cs="Arial"/>
                <w:color w:val="000000"/>
                <w:sz w:val="18"/>
                <w:szCs w:val="18"/>
              </w:rPr>
            </w:pPr>
            <w:r>
              <w:rPr>
                <w:rFonts w:ascii="Arial" w:hAnsi="Arial" w:cs="Arial"/>
                <w:color w:val="000000"/>
                <w:sz w:val="18"/>
              </w:rPr>
              <w:t>$40,000</w:t>
            </w:r>
          </w:p>
        </w:tc>
      </w:tr>
      <w:tr w:rsidR="00E756EC" w14:paraId="4620C23B" w14:textId="77777777" w:rsidTr="00324164">
        <w:trPr>
          <w:trHeight w:val="60"/>
          <w:jc w:val="center"/>
        </w:trPr>
        <w:tc>
          <w:tcPr>
            <w:tcW w:w="1906" w:type="dxa"/>
            <w:shd w:val="clear" w:color="auto" w:fill="F2F2F2" w:themeFill="background1" w:themeFillShade="F2"/>
          </w:tcPr>
          <w:p w14:paraId="2E68232E" w14:textId="77777777" w:rsidR="00E756EC" w:rsidRDefault="00E756EC" w:rsidP="00324164">
            <w:pPr>
              <w:pStyle w:val="NoSpacing"/>
              <w:rPr>
                <w:rFonts w:ascii="Arial" w:hAnsi="Arial" w:cs="Arial"/>
                <w:sz w:val="18"/>
              </w:rPr>
            </w:pPr>
            <w:r>
              <w:rPr>
                <w:rFonts w:ascii="Arial" w:hAnsi="Arial" w:cs="Arial"/>
                <w:sz w:val="18"/>
              </w:rPr>
              <w:t>50% - &lt;100%</w:t>
            </w:r>
          </w:p>
        </w:tc>
        <w:tc>
          <w:tcPr>
            <w:tcW w:w="1741" w:type="dxa"/>
            <w:shd w:val="clear" w:color="auto" w:fill="F2F2F2" w:themeFill="background1" w:themeFillShade="F2"/>
            <w:vAlign w:val="center"/>
          </w:tcPr>
          <w:p w14:paraId="6C1A6AD5" w14:textId="77777777" w:rsidR="00E756EC" w:rsidRDefault="00E756EC" w:rsidP="009628DC">
            <w:pPr>
              <w:jc w:val="center"/>
              <w:rPr>
                <w:rFonts w:ascii="Arial" w:hAnsi="Arial" w:cs="Arial"/>
                <w:color w:val="000000"/>
                <w:sz w:val="18"/>
                <w:szCs w:val="18"/>
              </w:rPr>
            </w:pPr>
            <w:r>
              <w:rPr>
                <w:rFonts w:ascii="Arial" w:hAnsi="Arial" w:cs="Arial"/>
                <w:color w:val="000000"/>
                <w:sz w:val="18"/>
              </w:rPr>
              <w:t>$825,000</w:t>
            </w:r>
          </w:p>
        </w:tc>
        <w:tc>
          <w:tcPr>
            <w:tcW w:w="2162" w:type="dxa"/>
            <w:shd w:val="clear" w:color="auto" w:fill="F2F2F2" w:themeFill="background1" w:themeFillShade="F2"/>
            <w:vAlign w:val="center"/>
          </w:tcPr>
          <w:p w14:paraId="4C816663" w14:textId="77777777" w:rsidR="00E756EC" w:rsidRDefault="00E756EC" w:rsidP="009628DC">
            <w:pPr>
              <w:jc w:val="center"/>
              <w:rPr>
                <w:rFonts w:ascii="Arial" w:hAnsi="Arial" w:cs="Arial"/>
                <w:color w:val="000000"/>
                <w:sz w:val="18"/>
                <w:szCs w:val="18"/>
              </w:rPr>
            </w:pPr>
            <w:r>
              <w:rPr>
                <w:rFonts w:ascii="Arial" w:hAnsi="Arial" w:cs="Arial"/>
                <w:color w:val="000000"/>
                <w:sz w:val="18"/>
                <w:szCs w:val="18"/>
              </w:rPr>
              <w:t>7.27% (1.2 x 6.06%)</w:t>
            </w:r>
          </w:p>
        </w:tc>
        <w:tc>
          <w:tcPr>
            <w:tcW w:w="1476" w:type="dxa"/>
            <w:shd w:val="clear" w:color="auto" w:fill="F2F2F2" w:themeFill="background1" w:themeFillShade="F2"/>
            <w:vAlign w:val="center"/>
          </w:tcPr>
          <w:p w14:paraId="1B41CB4B" w14:textId="4E9B89AA" w:rsidR="00E756EC" w:rsidRDefault="00E756EC" w:rsidP="009628DC">
            <w:pPr>
              <w:jc w:val="center"/>
              <w:rPr>
                <w:rFonts w:ascii="Arial" w:hAnsi="Arial" w:cs="Arial"/>
                <w:color w:val="000000"/>
                <w:sz w:val="18"/>
                <w:szCs w:val="18"/>
              </w:rPr>
            </w:pPr>
            <w:r>
              <w:rPr>
                <w:rFonts w:ascii="Arial" w:hAnsi="Arial" w:cs="Arial"/>
                <w:color w:val="000000"/>
                <w:sz w:val="18"/>
                <w:szCs w:val="18"/>
              </w:rPr>
              <w:t>$60,000</w:t>
            </w:r>
          </w:p>
        </w:tc>
      </w:tr>
      <w:tr w:rsidR="00E756EC" w14:paraId="0E130D2B" w14:textId="77777777" w:rsidTr="00324164">
        <w:trPr>
          <w:trHeight w:val="60"/>
          <w:jc w:val="center"/>
        </w:trPr>
        <w:tc>
          <w:tcPr>
            <w:tcW w:w="1906" w:type="dxa"/>
            <w:shd w:val="clear" w:color="auto" w:fill="F2F2F2" w:themeFill="background1" w:themeFillShade="F2"/>
          </w:tcPr>
          <w:p w14:paraId="71C81DEF" w14:textId="77777777" w:rsidR="00E756EC" w:rsidRDefault="00E756EC" w:rsidP="00324164">
            <w:pPr>
              <w:pStyle w:val="NoSpacing"/>
              <w:rPr>
                <w:rFonts w:ascii="Arial" w:hAnsi="Arial" w:cs="Arial"/>
                <w:sz w:val="18"/>
              </w:rPr>
            </w:pPr>
            <w:r>
              <w:rPr>
                <w:rFonts w:ascii="Arial" w:hAnsi="Arial" w:cs="Arial"/>
                <w:sz w:val="18"/>
              </w:rPr>
              <w:t>100% - &lt;140%</w:t>
            </w:r>
          </w:p>
        </w:tc>
        <w:tc>
          <w:tcPr>
            <w:tcW w:w="1741" w:type="dxa"/>
            <w:shd w:val="clear" w:color="auto" w:fill="F2F2F2" w:themeFill="background1" w:themeFillShade="F2"/>
            <w:vAlign w:val="center"/>
          </w:tcPr>
          <w:p w14:paraId="25314520" w14:textId="77777777" w:rsidR="00E756EC" w:rsidRDefault="00E756EC" w:rsidP="009628DC">
            <w:pPr>
              <w:jc w:val="center"/>
              <w:rPr>
                <w:rFonts w:ascii="Arial" w:hAnsi="Arial" w:cs="Arial"/>
                <w:color w:val="000000"/>
                <w:sz w:val="18"/>
                <w:szCs w:val="18"/>
              </w:rPr>
            </w:pPr>
            <w:r>
              <w:rPr>
                <w:rFonts w:ascii="Arial" w:hAnsi="Arial" w:cs="Arial"/>
                <w:color w:val="000000"/>
                <w:sz w:val="18"/>
                <w:szCs w:val="18"/>
              </w:rPr>
              <w:t>$150,000</w:t>
            </w:r>
          </w:p>
        </w:tc>
        <w:tc>
          <w:tcPr>
            <w:tcW w:w="2162" w:type="dxa"/>
            <w:shd w:val="clear" w:color="auto" w:fill="F2F2F2" w:themeFill="background1" w:themeFillShade="F2"/>
            <w:vAlign w:val="center"/>
          </w:tcPr>
          <w:p w14:paraId="6E35944B" w14:textId="77777777" w:rsidR="00E756EC" w:rsidRDefault="00E756EC" w:rsidP="009628DC">
            <w:pPr>
              <w:jc w:val="center"/>
              <w:rPr>
                <w:rFonts w:ascii="Arial" w:hAnsi="Arial" w:cs="Arial"/>
                <w:color w:val="000000"/>
                <w:sz w:val="18"/>
                <w:szCs w:val="18"/>
              </w:rPr>
            </w:pPr>
            <w:r>
              <w:rPr>
                <w:rFonts w:ascii="Arial" w:hAnsi="Arial" w:cs="Arial"/>
                <w:color w:val="000000"/>
                <w:sz w:val="18"/>
                <w:szCs w:val="18"/>
              </w:rPr>
              <w:t>9.09% (1.5 x 6.06%)</w:t>
            </w:r>
          </w:p>
        </w:tc>
        <w:tc>
          <w:tcPr>
            <w:tcW w:w="1476" w:type="dxa"/>
            <w:shd w:val="clear" w:color="auto" w:fill="F2F2F2" w:themeFill="background1" w:themeFillShade="F2"/>
            <w:vAlign w:val="center"/>
          </w:tcPr>
          <w:p w14:paraId="1886FFE1" w14:textId="3FFD17D9" w:rsidR="00E756EC" w:rsidRDefault="00E756EC" w:rsidP="009628DC">
            <w:pPr>
              <w:jc w:val="center"/>
              <w:rPr>
                <w:rFonts w:ascii="Arial" w:hAnsi="Arial" w:cs="Arial"/>
                <w:color w:val="000000"/>
                <w:sz w:val="18"/>
                <w:szCs w:val="18"/>
              </w:rPr>
            </w:pPr>
            <w:r>
              <w:rPr>
                <w:rFonts w:ascii="Arial" w:hAnsi="Arial" w:cs="Arial"/>
                <w:color w:val="000000"/>
                <w:sz w:val="18"/>
                <w:szCs w:val="18"/>
              </w:rPr>
              <w:t>$13,636</w:t>
            </w:r>
          </w:p>
        </w:tc>
      </w:tr>
      <w:tr w:rsidR="00E756EC" w14:paraId="0E3AD93C" w14:textId="77777777" w:rsidTr="00324164">
        <w:trPr>
          <w:trHeight w:val="60"/>
          <w:jc w:val="center"/>
        </w:trPr>
        <w:tc>
          <w:tcPr>
            <w:tcW w:w="1906" w:type="dxa"/>
            <w:shd w:val="clear" w:color="auto" w:fill="F2F2F2" w:themeFill="background1" w:themeFillShade="F2"/>
          </w:tcPr>
          <w:p w14:paraId="0BECE777" w14:textId="77777777" w:rsidR="00E756EC" w:rsidRDefault="00E756EC" w:rsidP="00324164">
            <w:pPr>
              <w:pStyle w:val="NoSpacing"/>
              <w:rPr>
                <w:rFonts w:ascii="Arial" w:hAnsi="Arial" w:cs="Arial"/>
                <w:sz w:val="18"/>
              </w:rPr>
            </w:pPr>
            <w:r>
              <w:rPr>
                <w:rFonts w:ascii="Arial" w:hAnsi="Arial" w:cs="Arial"/>
                <w:sz w:val="18"/>
              </w:rPr>
              <w:t>&gt;=140%</w:t>
            </w:r>
          </w:p>
        </w:tc>
        <w:tc>
          <w:tcPr>
            <w:tcW w:w="1741" w:type="dxa"/>
            <w:shd w:val="clear" w:color="auto" w:fill="F2F2F2" w:themeFill="background1" w:themeFillShade="F2"/>
            <w:vAlign w:val="center"/>
          </w:tcPr>
          <w:p w14:paraId="1A788697" w14:textId="77777777" w:rsidR="00E756EC" w:rsidRDefault="00E756EC" w:rsidP="009628DC">
            <w:pPr>
              <w:jc w:val="center"/>
              <w:rPr>
                <w:rFonts w:ascii="Arial" w:hAnsi="Arial" w:cs="Arial"/>
                <w:color w:val="000000"/>
                <w:sz w:val="18"/>
                <w:szCs w:val="18"/>
              </w:rPr>
            </w:pPr>
            <w:r>
              <w:rPr>
                <w:rFonts w:ascii="Arial" w:hAnsi="Arial" w:cs="Arial"/>
                <w:color w:val="000000"/>
                <w:sz w:val="18"/>
                <w:szCs w:val="18"/>
              </w:rPr>
              <w:t>$0</w:t>
            </w:r>
          </w:p>
        </w:tc>
        <w:tc>
          <w:tcPr>
            <w:tcW w:w="2162" w:type="dxa"/>
            <w:shd w:val="clear" w:color="auto" w:fill="F2F2F2" w:themeFill="background1" w:themeFillShade="F2"/>
            <w:vAlign w:val="center"/>
          </w:tcPr>
          <w:p w14:paraId="1CD017D7" w14:textId="77777777" w:rsidR="00E756EC" w:rsidRDefault="00E756EC" w:rsidP="009628DC">
            <w:pPr>
              <w:jc w:val="center"/>
              <w:rPr>
                <w:rFonts w:ascii="Arial" w:hAnsi="Arial" w:cs="Arial"/>
                <w:color w:val="000000"/>
                <w:sz w:val="18"/>
                <w:szCs w:val="18"/>
              </w:rPr>
            </w:pPr>
            <w:r>
              <w:rPr>
                <w:rFonts w:ascii="Arial" w:hAnsi="Arial" w:cs="Arial"/>
                <w:color w:val="000000"/>
                <w:sz w:val="18"/>
                <w:szCs w:val="18"/>
              </w:rPr>
              <w:t>12.12% (2.0 x 6.06%)</w:t>
            </w:r>
          </w:p>
        </w:tc>
        <w:tc>
          <w:tcPr>
            <w:tcW w:w="1476" w:type="dxa"/>
            <w:shd w:val="clear" w:color="auto" w:fill="F2F2F2" w:themeFill="background1" w:themeFillShade="F2"/>
            <w:vAlign w:val="center"/>
          </w:tcPr>
          <w:p w14:paraId="762F436E" w14:textId="6B88B88B" w:rsidR="00E756EC" w:rsidRDefault="00E756EC" w:rsidP="009628DC">
            <w:pPr>
              <w:jc w:val="center"/>
              <w:rPr>
                <w:rFonts w:ascii="Arial" w:hAnsi="Arial" w:cs="Arial"/>
                <w:color w:val="000000"/>
                <w:sz w:val="18"/>
                <w:szCs w:val="18"/>
              </w:rPr>
            </w:pPr>
            <w:r>
              <w:rPr>
                <w:rFonts w:ascii="Arial" w:hAnsi="Arial" w:cs="Arial"/>
                <w:color w:val="000000"/>
                <w:sz w:val="18"/>
                <w:szCs w:val="18"/>
              </w:rPr>
              <w:t>$0</w:t>
            </w:r>
          </w:p>
        </w:tc>
      </w:tr>
      <w:tr w:rsidR="00E756EC" w14:paraId="593DEE9B" w14:textId="77777777" w:rsidTr="00324164">
        <w:trPr>
          <w:trHeight w:val="60"/>
          <w:jc w:val="center"/>
        </w:trPr>
        <w:tc>
          <w:tcPr>
            <w:tcW w:w="1906" w:type="dxa"/>
            <w:shd w:val="clear" w:color="auto" w:fill="FFFFFF" w:themeFill="background1"/>
          </w:tcPr>
          <w:p w14:paraId="02AC9975" w14:textId="77777777" w:rsidR="00E756EC" w:rsidRPr="00517F36" w:rsidRDefault="00E756EC" w:rsidP="00324164">
            <w:pPr>
              <w:pStyle w:val="NoSpacing"/>
              <w:rPr>
                <w:rFonts w:ascii="Arial" w:hAnsi="Arial" w:cs="Arial"/>
                <w:b/>
                <w:sz w:val="18"/>
              </w:rPr>
            </w:pPr>
            <w:r w:rsidRPr="00517F36">
              <w:rPr>
                <w:rFonts w:ascii="Arial" w:hAnsi="Arial" w:cs="Arial"/>
                <w:b/>
                <w:sz w:val="18"/>
              </w:rPr>
              <w:t>Total</w:t>
            </w:r>
          </w:p>
        </w:tc>
        <w:tc>
          <w:tcPr>
            <w:tcW w:w="1741" w:type="dxa"/>
            <w:shd w:val="clear" w:color="auto" w:fill="FFFFFF" w:themeFill="background1"/>
            <w:vAlign w:val="center"/>
          </w:tcPr>
          <w:p w14:paraId="3287DBFF" w14:textId="77777777" w:rsidR="00E756EC" w:rsidRPr="00D80C36" w:rsidRDefault="00E756EC" w:rsidP="009628DC">
            <w:pPr>
              <w:jc w:val="center"/>
              <w:rPr>
                <w:rFonts w:ascii="Arial" w:hAnsi="Arial" w:cs="Arial"/>
                <w:b/>
                <w:color w:val="000000"/>
                <w:sz w:val="18"/>
                <w:szCs w:val="18"/>
              </w:rPr>
            </w:pPr>
            <w:r w:rsidRPr="00D80C36">
              <w:rPr>
                <w:rFonts w:ascii="Arial" w:hAnsi="Arial" w:cs="Arial"/>
                <w:b/>
                <w:sz w:val="18"/>
                <w:szCs w:val="18"/>
              </w:rPr>
              <w:t>$1,800,000</w:t>
            </w:r>
          </w:p>
        </w:tc>
        <w:tc>
          <w:tcPr>
            <w:tcW w:w="2162" w:type="dxa"/>
            <w:shd w:val="clear" w:color="auto" w:fill="FFFFFF" w:themeFill="background1"/>
            <w:vAlign w:val="center"/>
          </w:tcPr>
          <w:p w14:paraId="210F8BD9" w14:textId="77777777" w:rsidR="00E756EC" w:rsidRDefault="00E756EC" w:rsidP="009628DC">
            <w:pPr>
              <w:jc w:val="center"/>
              <w:rPr>
                <w:rFonts w:ascii="Arial" w:hAnsi="Arial" w:cs="Arial"/>
                <w:b/>
                <w:bCs/>
                <w:color w:val="000000"/>
                <w:sz w:val="18"/>
                <w:szCs w:val="18"/>
              </w:rPr>
            </w:pPr>
            <w:r>
              <w:rPr>
                <w:rFonts w:ascii="Arial" w:hAnsi="Arial" w:cs="Arial"/>
                <w:b/>
                <w:bCs/>
                <w:color w:val="000000"/>
                <w:sz w:val="18"/>
              </w:rPr>
              <w:t>-</w:t>
            </w:r>
          </w:p>
        </w:tc>
        <w:tc>
          <w:tcPr>
            <w:tcW w:w="1476" w:type="dxa"/>
            <w:shd w:val="clear" w:color="auto" w:fill="FFFFFF" w:themeFill="background1"/>
            <w:vAlign w:val="center"/>
          </w:tcPr>
          <w:p w14:paraId="6C74D5E0" w14:textId="771CAF18" w:rsidR="00E756EC" w:rsidRDefault="00E756EC" w:rsidP="009628DC">
            <w:pPr>
              <w:jc w:val="center"/>
              <w:rPr>
                <w:rFonts w:ascii="Arial" w:hAnsi="Arial" w:cs="Arial"/>
                <w:b/>
                <w:bCs/>
                <w:color w:val="000000"/>
                <w:sz w:val="18"/>
                <w:szCs w:val="18"/>
              </w:rPr>
            </w:pPr>
            <w:r>
              <w:rPr>
                <w:rFonts w:ascii="Arial" w:hAnsi="Arial" w:cs="Arial"/>
                <w:b/>
                <w:bCs/>
                <w:color w:val="000000"/>
                <w:sz w:val="18"/>
                <w:szCs w:val="18"/>
              </w:rPr>
              <w:t>$113,636</w:t>
            </w:r>
          </w:p>
        </w:tc>
      </w:tr>
    </w:tbl>
    <w:p w14:paraId="528C17BF" w14:textId="37F7904B" w:rsidR="00E756EC" w:rsidRPr="00281A24" w:rsidRDefault="00E756EC" w:rsidP="00E756EC">
      <w:pPr>
        <w:pStyle w:val="NoSpacing"/>
        <w:spacing w:before="120" w:after="120"/>
        <w:rPr>
          <w:rFonts w:ascii="Arial" w:hAnsi="Arial" w:cs="Arial"/>
        </w:rPr>
      </w:pPr>
      <w:r>
        <w:rPr>
          <w:rFonts w:ascii="Arial" w:hAnsi="Arial" w:cs="Arial"/>
        </w:rPr>
        <w:t>Note:  The multipliers in the above table are rounded, and therefore actual payouts may vary slightly.</w:t>
      </w:r>
    </w:p>
    <w:p w14:paraId="26689F88" w14:textId="77777777" w:rsidR="00E756EC" w:rsidRDefault="00E756EC" w:rsidP="00E756EC">
      <w:pPr>
        <w:pStyle w:val="NoSpacing"/>
        <w:spacing w:before="120" w:after="120"/>
        <w:rPr>
          <w:rFonts w:ascii="Arial" w:hAnsi="Arial" w:cs="Arial"/>
        </w:rPr>
      </w:pPr>
    </w:p>
    <w:p w14:paraId="7BACA09A" w14:textId="018C46B7" w:rsidR="009628DC" w:rsidRPr="00324164" w:rsidRDefault="009628DC" w:rsidP="009628DC">
      <w:pPr>
        <w:pStyle w:val="Heading4"/>
        <w:rPr>
          <w:color w:val="235043"/>
        </w:rPr>
      </w:pPr>
      <w:r w:rsidRPr="00324164">
        <w:rPr>
          <w:color w:val="235043"/>
        </w:rPr>
        <w:lastRenderedPageBreak/>
        <w:t xml:space="preserve">Multiyear </w:t>
      </w:r>
      <w:r w:rsidR="00C63F6F" w:rsidRPr="00324164">
        <w:rPr>
          <w:color w:val="235043"/>
        </w:rPr>
        <w:t>K</w:t>
      </w:r>
      <w:r w:rsidRPr="00324164">
        <w:rPr>
          <w:color w:val="235043"/>
        </w:rPr>
        <w:t>icker</w:t>
      </w:r>
    </w:p>
    <w:p w14:paraId="414A0233" w14:textId="4DDFD6D7" w:rsidR="009628DC" w:rsidRDefault="009628DC" w:rsidP="009628DC">
      <w:pPr>
        <w:pStyle w:val="NoSpacing"/>
        <w:spacing w:before="120" w:after="120"/>
        <w:rPr>
          <w:rFonts w:ascii="Arial" w:hAnsi="Arial" w:cs="Arial"/>
        </w:rPr>
      </w:pPr>
      <w:r>
        <w:rPr>
          <w:rFonts w:ascii="Arial" w:hAnsi="Arial" w:cs="Arial"/>
        </w:rPr>
        <w:t>You only receive credit for Year 1</w:t>
      </w:r>
      <w:r w:rsidR="005A483B">
        <w:rPr>
          <w:rFonts w:ascii="Arial" w:hAnsi="Arial" w:cs="Arial"/>
        </w:rPr>
        <w:t xml:space="preserve"> ACV</w:t>
      </w:r>
      <w:r>
        <w:rPr>
          <w:rFonts w:ascii="Arial" w:hAnsi="Arial" w:cs="Arial"/>
        </w:rPr>
        <w:t xml:space="preserve"> in your New Business Bookings measure (above).  However, to reward you for selling multiyear deals that your customers may want to buy, the plan will provide you </w:t>
      </w:r>
      <w:r w:rsidR="00C63F6F">
        <w:rPr>
          <w:rFonts w:ascii="Arial" w:hAnsi="Arial" w:cs="Arial"/>
        </w:rPr>
        <w:t xml:space="preserve">the following </w:t>
      </w:r>
      <w:r>
        <w:rPr>
          <w:rFonts w:ascii="Arial" w:hAnsi="Arial" w:cs="Arial"/>
        </w:rPr>
        <w:t>Multiyear Kicker</w:t>
      </w:r>
      <w:r w:rsidR="00C63F6F">
        <w:rPr>
          <w:rFonts w:ascii="Arial" w:hAnsi="Arial" w:cs="Arial"/>
        </w:rPr>
        <w:t>, expressed as</w:t>
      </w:r>
      <w:r>
        <w:rPr>
          <w:rFonts w:ascii="Arial" w:hAnsi="Arial" w:cs="Arial"/>
        </w:rPr>
        <w:t xml:space="preserve"> a percentage of your ICR:</w:t>
      </w:r>
    </w:p>
    <w:p w14:paraId="4F433EF6" w14:textId="4B48BEC3" w:rsidR="009628DC" w:rsidRDefault="00C63F6F" w:rsidP="009628DC">
      <w:pPr>
        <w:pStyle w:val="NoSpacing"/>
        <w:numPr>
          <w:ilvl w:val="0"/>
          <w:numId w:val="44"/>
        </w:numPr>
        <w:rPr>
          <w:rFonts w:ascii="Arial" w:hAnsi="Arial" w:cs="Arial"/>
        </w:rPr>
      </w:pPr>
      <w:r>
        <w:rPr>
          <w:rFonts w:ascii="Arial" w:hAnsi="Arial" w:cs="Arial"/>
          <w:b/>
        </w:rPr>
        <w:t>Multiyear Kicker on contracts lasting greater</w:t>
      </w:r>
      <w:r w:rsidR="009628DC">
        <w:rPr>
          <w:rFonts w:ascii="Arial" w:hAnsi="Arial" w:cs="Arial"/>
          <w:b/>
        </w:rPr>
        <w:t xml:space="preserve"> than 18</w:t>
      </w:r>
      <w:r>
        <w:rPr>
          <w:rFonts w:ascii="Arial" w:hAnsi="Arial" w:cs="Arial"/>
          <w:b/>
        </w:rPr>
        <w:t xml:space="preserve"> m</w:t>
      </w:r>
      <w:r w:rsidR="009628DC">
        <w:rPr>
          <w:rFonts w:ascii="Arial" w:hAnsi="Arial" w:cs="Arial"/>
          <w:b/>
        </w:rPr>
        <w:t>onth</w:t>
      </w:r>
      <w:r>
        <w:rPr>
          <w:rFonts w:ascii="Arial" w:hAnsi="Arial" w:cs="Arial"/>
          <w:b/>
        </w:rPr>
        <w:t>s</w:t>
      </w:r>
      <w:r w:rsidR="009628DC">
        <w:rPr>
          <w:rFonts w:ascii="Arial" w:hAnsi="Arial" w:cs="Arial"/>
          <w:b/>
        </w:rPr>
        <w:t>:</w:t>
      </w:r>
      <w:r w:rsidR="009628DC">
        <w:rPr>
          <w:rFonts w:ascii="Arial" w:hAnsi="Arial" w:cs="Arial"/>
        </w:rPr>
        <w:t xml:space="preserve"> 20% of ICR</w:t>
      </w:r>
    </w:p>
    <w:p w14:paraId="61D33470" w14:textId="2060A507" w:rsidR="009628DC" w:rsidRDefault="009628DC" w:rsidP="009628DC">
      <w:pPr>
        <w:spacing w:before="120" w:after="120"/>
        <w:rPr>
          <w:rFonts w:ascii="Arial" w:hAnsi="Arial" w:cs="Arial"/>
        </w:rPr>
      </w:pPr>
      <w:r>
        <w:rPr>
          <w:rFonts w:ascii="Arial" w:hAnsi="Arial" w:cs="Arial"/>
        </w:rPr>
        <w:t xml:space="preserve">Your Multiyear Kicker is calculated </w:t>
      </w:r>
      <w:r w:rsidR="009B542D" w:rsidRPr="009B542D">
        <w:rPr>
          <w:rFonts w:ascii="Arial" w:hAnsi="Arial" w:cs="Arial"/>
          <w:i/>
          <w:iCs/>
        </w:rPr>
        <w:t>per deal</w:t>
      </w:r>
      <w:r w:rsidR="009B542D">
        <w:rPr>
          <w:rFonts w:ascii="Arial" w:hAnsi="Arial" w:cs="Arial"/>
        </w:rPr>
        <w:t xml:space="preserve"> </w:t>
      </w:r>
      <w:r>
        <w:rPr>
          <w:rFonts w:ascii="Arial" w:hAnsi="Arial" w:cs="Arial"/>
        </w:rPr>
        <w:t>using the following methodology:</w:t>
      </w:r>
    </w:p>
    <w:p w14:paraId="7E8F9B0E" w14:textId="77777777" w:rsidR="009628DC" w:rsidRPr="0075679C" w:rsidRDefault="009628DC" w:rsidP="009628DC">
      <w:pPr>
        <w:pStyle w:val="ListParagraph"/>
        <w:numPr>
          <w:ilvl w:val="0"/>
          <w:numId w:val="43"/>
        </w:numPr>
        <w:rPr>
          <w:rFonts w:ascii="Arial" w:hAnsi="Arial" w:cs="Arial"/>
        </w:rPr>
      </w:pPr>
      <w:r w:rsidRPr="0075679C">
        <w:rPr>
          <w:rFonts w:ascii="Arial" w:hAnsi="Arial" w:cs="Arial"/>
        </w:rPr>
        <w:t xml:space="preserve">Annualized Contract Value x </w:t>
      </w:r>
      <w:r>
        <w:rPr>
          <w:rFonts w:ascii="Arial" w:hAnsi="Arial" w:cs="Arial"/>
        </w:rPr>
        <w:t>20%</w:t>
      </w:r>
      <w:r w:rsidRPr="0075679C">
        <w:rPr>
          <w:rFonts w:ascii="Arial" w:hAnsi="Arial" w:cs="Arial"/>
        </w:rPr>
        <w:t xml:space="preserve"> x ICR</w:t>
      </w:r>
    </w:p>
    <w:p w14:paraId="663C5747" w14:textId="01E20283" w:rsidR="009628DC" w:rsidRPr="0075679C" w:rsidRDefault="009628DC" w:rsidP="009628DC">
      <w:pPr>
        <w:spacing w:before="120" w:after="120"/>
        <w:rPr>
          <w:rFonts w:ascii="Arial" w:hAnsi="Arial" w:cs="Arial"/>
        </w:rPr>
      </w:pPr>
      <w:r>
        <w:rPr>
          <w:rFonts w:ascii="Arial" w:hAnsi="Arial" w:cs="Arial"/>
        </w:rPr>
        <w:t>For example,</w:t>
      </w:r>
      <w:r w:rsidRPr="0075679C">
        <w:rPr>
          <w:rFonts w:ascii="Arial" w:hAnsi="Arial" w:cs="Arial"/>
        </w:rPr>
        <w:t xml:space="preserve"> if the ACV</w:t>
      </w:r>
      <w:r w:rsidR="00C63F6F">
        <w:rPr>
          <w:rFonts w:ascii="Arial" w:hAnsi="Arial" w:cs="Arial"/>
        </w:rPr>
        <w:t xml:space="preserve"> on a contract lasting longer than 18 months</w:t>
      </w:r>
      <w:r w:rsidRPr="0075679C">
        <w:rPr>
          <w:rFonts w:ascii="Arial" w:hAnsi="Arial" w:cs="Arial"/>
        </w:rPr>
        <w:t xml:space="preserve"> is $30</w:t>
      </w:r>
      <w:r>
        <w:rPr>
          <w:rFonts w:ascii="Arial" w:hAnsi="Arial" w:cs="Arial"/>
        </w:rPr>
        <w:t xml:space="preserve">,000 </w:t>
      </w:r>
      <w:r w:rsidRPr="0075679C">
        <w:rPr>
          <w:rFonts w:ascii="Arial" w:hAnsi="Arial" w:cs="Arial"/>
        </w:rPr>
        <w:t xml:space="preserve">and the Participant's ICR is </w:t>
      </w:r>
      <w:r>
        <w:rPr>
          <w:rFonts w:ascii="Arial" w:hAnsi="Arial" w:cs="Arial"/>
        </w:rPr>
        <w:t>6.06</w:t>
      </w:r>
      <w:r w:rsidRPr="0075679C">
        <w:rPr>
          <w:rFonts w:ascii="Arial" w:hAnsi="Arial" w:cs="Arial"/>
        </w:rPr>
        <w:t>%, the Participant will receive $3</w:t>
      </w:r>
      <w:r>
        <w:rPr>
          <w:rFonts w:ascii="Arial" w:hAnsi="Arial" w:cs="Arial"/>
        </w:rPr>
        <w:t>63.60</w:t>
      </w:r>
      <w:r w:rsidRPr="0075679C">
        <w:rPr>
          <w:rFonts w:ascii="Arial" w:hAnsi="Arial" w:cs="Arial"/>
        </w:rPr>
        <w:t xml:space="preserve"> ($30</w:t>
      </w:r>
      <w:r>
        <w:rPr>
          <w:rFonts w:ascii="Arial" w:hAnsi="Arial" w:cs="Arial"/>
        </w:rPr>
        <w:t>,000</w:t>
      </w:r>
      <w:r w:rsidRPr="0075679C">
        <w:rPr>
          <w:rFonts w:ascii="Arial" w:hAnsi="Arial" w:cs="Arial"/>
        </w:rPr>
        <w:t xml:space="preserve"> ACV </w:t>
      </w:r>
      <w:r>
        <w:rPr>
          <w:rFonts w:ascii="Arial" w:hAnsi="Arial" w:cs="Arial"/>
        </w:rPr>
        <w:t xml:space="preserve">x </w:t>
      </w:r>
      <w:r w:rsidRPr="0075679C">
        <w:rPr>
          <w:rFonts w:ascii="Arial" w:hAnsi="Arial" w:cs="Arial"/>
        </w:rPr>
        <w:t xml:space="preserve">20% x </w:t>
      </w:r>
      <w:r>
        <w:rPr>
          <w:rFonts w:ascii="Arial" w:hAnsi="Arial" w:cs="Arial"/>
        </w:rPr>
        <w:t>6.06</w:t>
      </w:r>
      <w:r w:rsidRPr="0075679C">
        <w:rPr>
          <w:rFonts w:ascii="Arial" w:hAnsi="Arial" w:cs="Arial"/>
        </w:rPr>
        <w:t>% ICR).</w:t>
      </w:r>
    </w:p>
    <w:p w14:paraId="093E7119" w14:textId="027CF58D" w:rsidR="009628DC" w:rsidRDefault="009628DC" w:rsidP="00E756EC">
      <w:pPr>
        <w:tabs>
          <w:tab w:val="left" w:pos="6480"/>
        </w:tabs>
        <w:rPr>
          <w:rFonts w:ascii="Arial" w:hAnsi="Arial" w:cs="Arial"/>
        </w:rPr>
      </w:pPr>
      <w:r>
        <w:rPr>
          <w:rFonts w:ascii="Arial" w:hAnsi="Arial" w:cs="Arial"/>
          <w:b/>
        </w:rPr>
        <w:t>Note:</w:t>
      </w:r>
      <w:r>
        <w:rPr>
          <w:rFonts w:ascii="Arial" w:hAnsi="Arial" w:cs="Arial"/>
        </w:rPr>
        <w:t xml:space="preserve">  In order to be eligible for the Multiyear Bookings Multiplier, discounts on multiyear deals must not exceed the standard discounts set forth in the price list.  If the discount is greater, the Multiyear Bookings Multiplier will NOT apply.</w:t>
      </w:r>
    </w:p>
    <w:p w14:paraId="6B17F334" w14:textId="77777777" w:rsidR="009628DC" w:rsidRDefault="009628DC" w:rsidP="00E756EC">
      <w:pPr>
        <w:tabs>
          <w:tab w:val="left" w:pos="6480"/>
        </w:tabs>
        <w:rPr>
          <w:rFonts w:ascii="Arial" w:hAnsi="Arial" w:cs="Arial"/>
        </w:rPr>
      </w:pPr>
    </w:p>
    <w:p w14:paraId="1925D232" w14:textId="1A80FF28" w:rsidR="009628DC" w:rsidRPr="00324164" w:rsidRDefault="009628DC" w:rsidP="009628DC">
      <w:pPr>
        <w:pStyle w:val="Heading4"/>
        <w:rPr>
          <w:color w:val="235043"/>
        </w:rPr>
      </w:pPr>
      <w:r w:rsidRPr="00324164">
        <w:rPr>
          <w:color w:val="235043"/>
        </w:rPr>
        <w:t>Quarterly Kicker</w:t>
      </w:r>
    </w:p>
    <w:p w14:paraId="6DFE319F" w14:textId="3D2C0D8F" w:rsidR="009628DC" w:rsidRDefault="009628DC" w:rsidP="009628DC">
      <w:pPr>
        <w:spacing w:before="120" w:after="120"/>
        <w:rPr>
          <w:rFonts w:ascii="Arial" w:hAnsi="Arial" w:cs="Arial"/>
        </w:rPr>
      </w:pPr>
      <w:r>
        <w:rPr>
          <w:rFonts w:ascii="Arial" w:hAnsi="Arial" w:cs="Arial"/>
        </w:rPr>
        <w:t xml:space="preserve">You are eligible to receive </w:t>
      </w:r>
      <w:r w:rsidR="00C63F6F">
        <w:rPr>
          <w:rFonts w:ascii="Arial" w:hAnsi="Arial" w:cs="Arial"/>
        </w:rPr>
        <w:t xml:space="preserve">the </w:t>
      </w:r>
      <w:r>
        <w:rPr>
          <w:rFonts w:ascii="Arial" w:hAnsi="Arial" w:cs="Arial"/>
        </w:rPr>
        <w:t xml:space="preserve">Quarterly Kicker for achieving your quarterly quota.  The Quarterly </w:t>
      </w:r>
      <w:r w:rsidR="00C63F6F">
        <w:rPr>
          <w:rFonts w:ascii="Arial" w:hAnsi="Arial" w:cs="Arial"/>
        </w:rPr>
        <w:t>K</w:t>
      </w:r>
      <w:r>
        <w:rPr>
          <w:rFonts w:ascii="Arial" w:hAnsi="Arial" w:cs="Arial"/>
        </w:rPr>
        <w:t>icker is expressed as a percentage of your ICR</w:t>
      </w:r>
      <w:r w:rsidR="00C63F6F">
        <w:rPr>
          <w:rFonts w:ascii="Arial" w:hAnsi="Arial" w:cs="Arial"/>
        </w:rPr>
        <w:t>:</w:t>
      </w:r>
    </w:p>
    <w:p w14:paraId="4BC285B1" w14:textId="77777777" w:rsidR="009628DC" w:rsidRPr="007E0ACE" w:rsidRDefault="009628DC" w:rsidP="009628DC">
      <w:pPr>
        <w:pStyle w:val="ListParagraph"/>
        <w:numPr>
          <w:ilvl w:val="0"/>
          <w:numId w:val="42"/>
        </w:numPr>
        <w:spacing w:before="120" w:after="120"/>
        <w:rPr>
          <w:rFonts w:ascii="Arial" w:hAnsi="Arial" w:cs="Arial"/>
        </w:rPr>
      </w:pPr>
      <w:r w:rsidRPr="007E0ACE">
        <w:rPr>
          <w:rFonts w:ascii="Arial" w:hAnsi="Arial" w:cs="Arial"/>
          <w:b/>
        </w:rPr>
        <w:t>Quarterly Kicker:</w:t>
      </w:r>
      <w:r w:rsidRPr="007E0ACE">
        <w:rPr>
          <w:rFonts w:ascii="Arial" w:hAnsi="Arial" w:cs="Arial"/>
        </w:rPr>
        <w:t xml:space="preserve"> 20% of ICR</w:t>
      </w:r>
    </w:p>
    <w:p w14:paraId="008FA48E" w14:textId="2E6827F3" w:rsidR="009628DC" w:rsidRDefault="009628DC" w:rsidP="009628DC">
      <w:pPr>
        <w:spacing w:before="120" w:after="120"/>
        <w:rPr>
          <w:rFonts w:ascii="Arial" w:hAnsi="Arial" w:cs="Arial"/>
        </w:rPr>
      </w:pPr>
      <w:r>
        <w:rPr>
          <w:rFonts w:ascii="Arial" w:hAnsi="Arial" w:cs="Arial"/>
        </w:rPr>
        <w:t xml:space="preserve">Your Quarterly Kicker is calculated </w:t>
      </w:r>
      <w:r w:rsidR="009B542D">
        <w:rPr>
          <w:rFonts w:ascii="Arial" w:hAnsi="Arial" w:cs="Arial"/>
          <w:i/>
          <w:iCs/>
        </w:rPr>
        <w:t xml:space="preserve">per quarter </w:t>
      </w:r>
      <w:r>
        <w:rPr>
          <w:rFonts w:ascii="Arial" w:hAnsi="Arial" w:cs="Arial"/>
        </w:rPr>
        <w:t>using the following methodology</w:t>
      </w:r>
      <w:r w:rsidR="009B542D">
        <w:rPr>
          <w:rFonts w:ascii="Arial" w:hAnsi="Arial" w:cs="Arial"/>
        </w:rPr>
        <w:t>:</w:t>
      </w:r>
    </w:p>
    <w:p w14:paraId="21A8997B" w14:textId="77777777" w:rsidR="009628DC" w:rsidRDefault="009628DC" w:rsidP="009628DC">
      <w:pPr>
        <w:pStyle w:val="NoSpacing"/>
        <w:numPr>
          <w:ilvl w:val="0"/>
          <w:numId w:val="41"/>
        </w:numPr>
        <w:spacing w:before="120" w:after="120"/>
        <w:rPr>
          <w:rFonts w:ascii="Arial" w:hAnsi="Arial" w:cs="Arial"/>
        </w:rPr>
      </w:pPr>
      <w:r>
        <w:rPr>
          <w:rFonts w:ascii="Arial" w:hAnsi="Arial" w:cs="Arial"/>
        </w:rPr>
        <w:t>Quarterly Performance x 20% x ICR</w:t>
      </w:r>
    </w:p>
    <w:p w14:paraId="05A38A52" w14:textId="1A869719" w:rsidR="009628DC" w:rsidRDefault="009628DC" w:rsidP="009628DC">
      <w:pPr>
        <w:tabs>
          <w:tab w:val="left" w:pos="6480"/>
        </w:tabs>
        <w:rPr>
          <w:rFonts w:ascii="Arial" w:hAnsi="Arial" w:cs="Arial"/>
        </w:rPr>
      </w:pPr>
      <w:r>
        <w:rPr>
          <w:rFonts w:ascii="Arial" w:hAnsi="Arial" w:cs="Arial"/>
        </w:rPr>
        <w:t>For example, if a Participant</w:t>
      </w:r>
      <w:r w:rsidR="009B542D">
        <w:rPr>
          <w:rFonts w:ascii="Arial" w:hAnsi="Arial" w:cs="Arial"/>
        </w:rPr>
        <w:t>’</w:t>
      </w:r>
      <w:r>
        <w:rPr>
          <w:rFonts w:ascii="Arial" w:hAnsi="Arial" w:cs="Arial"/>
        </w:rPr>
        <w:t xml:space="preserve">s </w:t>
      </w:r>
      <w:r w:rsidR="009B542D">
        <w:rPr>
          <w:rFonts w:ascii="Arial" w:hAnsi="Arial" w:cs="Arial"/>
        </w:rPr>
        <w:t>Q</w:t>
      </w:r>
      <w:r>
        <w:rPr>
          <w:rFonts w:ascii="Arial" w:hAnsi="Arial" w:cs="Arial"/>
        </w:rPr>
        <w:t>uarter 1 quota is $400</w:t>
      </w:r>
      <w:r w:rsidR="009B542D">
        <w:rPr>
          <w:rFonts w:ascii="Arial" w:hAnsi="Arial" w:cs="Arial"/>
        </w:rPr>
        <w:t>,000</w:t>
      </w:r>
      <w:r>
        <w:rPr>
          <w:rFonts w:ascii="Arial" w:hAnsi="Arial" w:cs="Arial"/>
        </w:rPr>
        <w:t xml:space="preserve"> and the Participant achieves</w:t>
      </w:r>
      <w:r w:rsidR="009B542D">
        <w:rPr>
          <w:rFonts w:ascii="Arial" w:hAnsi="Arial" w:cs="Arial"/>
        </w:rPr>
        <w:t xml:space="preserve"> bookings of</w:t>
      </w:r>
      <w:r>
        <w:rPr>
          <w:rFonts w:ascii="Arial" w:hAnsi="Arial" w:cs="Arial"/>
        </w:rPr>
        <w:t xml:space="preserve"> $450</w:t>
      </w:r>
      <w:r w:rsidR="009B542D">
        <w:rPr>
          <w:rFonts w:ascii="Arial" w:hAnsi="Arial" w:cs="Arial"/>
        </w:rPr>
        <w:t>,000</w:t>
      </w:r>
      <w:r>
        <w:rPr>
          <w:rFonts w:ascii="Arial" w:hAnsi="Arial" w:cs="Arial"/>
        </w:rPr>
        <w:t>, the Participant will receive $5,454 ($450,000 x 20% x 6.06%)</w:t>
      </w:r>
      <w:r w:rsidR="009B542D">
        <w:rPr>
          <w:rFonts w:ascii="Arial" w:hAnsi="Arial" w:cs="Arial"/>
        </w:rPr>
        <w:t>.</w:t>
      </w:r>
    </w:p>
    <w:p w14:paraId="0B3385DC" w14:textId="77777777" w:rsidR="009628DC" w:rsidRDefault="009628DC" w:rsidP="00E756EC">
      <w:pPr>
        <w:tabs>
          <w:tab w:val="left" w:pos="6480"/>
        </w:tabs>
        <w:rPr>
          <w:rFonts w:ascii="Arial" w:hAnsi="Arial" w:cs="Arial"/>
        </w:rPr>
      </w:pPr>
    </w:p>
    <w:p w14:paraId="76448E93" w14:textId="77777777" w:rsidR="00E756EC" w:rsidRDefault="00E756EC" w:rsidP="00E756EC">
      <w:pPr>
        <w:tabs>
          <w:tab w:val="left" w:pos="6480"/>
        </w:tabs>
        <w:rPr>
          <w:rFonts w:ascii="Arial" w:hAnsi="Arial" w:cs="Arial"/>
        </w:rPr>
      </w:pPr>
    </w:p>
    <w:p w14:paraId="726C8CCE" w14:textId="77777777" w:rsidR="00E756EC" w:rsidRDefault="00E756EC" w:rsidP="00E756EC">
      <w:pPr>
        <w:rPr>
          <w:rFonts w:ascii="Arial" w:hAnsi="Arial" w:cs="Arial"/>
        </w:rPr>
      </w:pPr>
      <w:r>
        <w:rPr>
          <w:rFonts w:ascii="Arial" w:hAnsi="Arial" w:cs="Arial"/>
        </w:rPr>
        <w:br w:type="page"/>
      </w:r>
    </w:p>
    <w:p w14:paraId="4962BC9D" w14:textId="14F1EF98" w:rsidR="00E756EC" w:rsidRDefault="00E756EC" w:rsidP="00E756EC">
      <w:pPr>
        <w:jc w:val="center"/>
        <w:rPr>
          <w:rFonts w:ascii="Arial" w:hAnsi="Arial" w:cs="Arial"/>
          <w:b/>
          <w:sz w:val="24"/>
          <w:szCs w:val="24"/>
        </w:rPr>
      </w:pPr>
      <w:r w:rsidRPr="009628DC">
        <w:rPr>
          <w:rFonts w:ascii="Arial" w:hAnsi="Arial" w:cs="Arial"/>
          <w:b/>
          <w:sz w:val="24"/>
          <w:szCs w:val="24"/>
          <w:highlight w:val="yellow"/>
        </w:rPr>
        <w:lastRenderedPageBreak/>
        <w:t>FY 20</w:t>
      </w:r>
      <w:r w:rsidR="009628DC" w:rsidRPr="009628DC">
        <w:rPr>
          <w:rFonts w:ascii="Arial" w:hAnsi="Arial" w:cs="Arial"/>
          <w:b/>
          <w:sz w:val="24"/>
          <w:szCs w:val="24"/>
          <w:highlight w:val="yellow"/>
        </w:rPr>
        <w:t>XX</w:t>
      </w:r>
      <w:r>
        <w:rPr>
          <w:rFonts w:ascii="Arial" w:hAnsi="Arial" w:cs="Arial"/>
          <w:b/>
          <w:sz w:val="24"/>
          <w:szCs w:val="24"/>
        </w:rPr>
        <w:t xml:space="preserve"> SALES COMPENSATION PLAN </w:t>
      </w:r>
    </w:p>
    <w:p w14:paraId="6BEA9D96" w14:textId="77777777" w:rsidR="00E756EC" w:rsidRDefault="00E756EC" w:rsidP="00E756EC">
      <w:pPr>
        <w:jc w:val="center"/>
        <w:rPr>
          <w:rFonts w:ascii="Arial" w:hAnsi="Arial" w:cs="Arial"/>
          <w:b/>
          <w:sz w:val="24"/>
          <w:szCs w:val="24"/>
        </w:rPr>
      </w:pPr>
      <w:r>
        <w:rPr>
          <w:rFonts w:ascii="Arial" w:hAnsi="Arial" w:cs="Arial"/>
          <w:b/>
          <w:sz w:val="24"/>
          <w:szCs w:val="24"/>
        </w:rPr>
        <w:t>PLAN POLICIES</w:t>
      </w:r>
    </w:p>
    <w:p w14:paraId="18B4D177" w14:textId="77777777" w:rsidR="009628DC" w:rsidRPr="009628DC" w:rsidRDefault="009628DC" w:rsidP="009628DC">
      <w:pPr>
        <w:spacing w:after="240"/>
        <w:jc w:val="center"/>
        <w:rPr>
          <w:rFonts w:ascii="Arial" w:hAnsi="Arial" w:cs="Arial"/>
          <w:sz w:val="16"/>
          <w:szCs w:val="16"/>
        </w:rPr>
      </w:pPr>
      <w:r>
        <w:rPr>
          <w:rFonts w:ascii="Arial" w:hAnsi="Arial" w:cs="Arial"/>
          <w:sz w:val="16"/>
          <w:szCs w:val="16"/>
        </w:rPr>
        <w:t xml:space="preserve">(Effective January 1, </w:t>
      </w:r>
      <w:r w:rsidRPr="009628DC">
        <w:rPr>
          <w:rFonts w:ascii="Arial" w:hAnsi="Arial" w:cs="Arial"/>
          <w:sz w:val="16"/>
          <w:szCs w:val="16"/>
          <w:highlight w:val="yellow"/>
        </w:rPr>
        <w:t>20XX</w:t>
      </w:r>
      <w:r>
        <w:rPr>
          <w:rFonts w:ascii="Arial" w:hAnsi="Arial" w:cs="Arial"/>
          <w:sz w:val="16"/>
          <w:szCs w:val="16"/>
        </w:rPr>
        <w:t xml:space="preserve"> and subject to the </w:t>
      </w:r>
      <w:r w:rsidRPr="009628DC">
        <w:rPr>
          <w:rFonts w:ascii="Arial" w:hAnsi="Arial" w:cs="Arial"/>
          <w:sz w:val="16"/>
          <w:szCs w:val="16"/>
          <w:highlight w:val="yellow"/>
        </w:rPr>
        <w:t>FYXX</w:t>
      </w:r>
      <w:r>
        <w:rPr>
          <w:rFonts w:ascii="Arial" w:hAnsi="Arial" w:cs="Arial"/>
          <w:sz w:val="16"/>
          <w:szCs w:val="16"/>
        </w:rPr>
        <w:t xml:space="preserve"> Sales Compensation Policy)</w:t>
      </w:r>
    </w:p>
    <w:p w14:paraId="24A1B29D" w14:textId="2447FE5C" w:rsidR="00E756EC" w:rsidRPr="00324164" w:rsidRDefault="009628DC" w:rsidP="009628DC">
      <w:pPr>
        <w:pStyle w:val="Heading3"/>
        <w:rPr>
          <w:color w:val="235043"/>
        </w:rPr>
      </w:pPr>
      <w:r w:rsidRPr="00324164">
        <w:rPr>
          <w:color w:val="235043"/>
        </w:rPr>
        <w:t>Table of Contents</w:t>
      </w:r>
    </w:p>
    <w:p w14:paraId="5301B7EA" w14:textId="77777777" w:rsidR="009628DC" w:rsidRDefault="009628DC" w:rsidP="00E756EC"/>
    <w:p w14:paraId="6A4DF24C" w14:textId="77777777" w:rsidR="00E756EC" w:rsidRDefault="00E756EC" w:rsidP="00E756EC">
      <w:pPr>
        <w:pStyle w:val="TOC1"/>
        <w:rPr>
          <w:rFonts w:asciiTheme="minorHAnsi" w:eastAsiaTheme="minorEastAsia" w:hAnsiTheme="minorHAnsi" w:cstheme="minorBidi"/>
          <w:noProof/>
          <w:sz w:val="22"/>
          <w:szCs w:val="22"/>
        </w:rPr>
      </w:pPr>
      <w:r w:rsidRPr="009B7526">
        <w:rPr>
          <w:rFonts w:ascii="Arial" w:hAnsi="Arial"/>
          <w:sz w:val="22"/>
        </w:rPr>
        <w:fldChar w:fldCharType="begin"/>
      </w:r>
      <w:r w:rsidRPr="009B7526">
        <w:rPr>
          <w:rFonts w:ascii="Arial" w:hAnsi="Arial"/>
          <w:sz w:val="22"/>
        </w:rPr>
        <w:instrText xml:space="preserve"> TOC \o "1-3" \h \z </w:instrText>
      </w:r>
      <w:r w:rsidRPr="009B7526">
        <w:rPr>
          <w:rFonts w:ascii="Arial" w:hAnsi="Arial"/>
          <w:sz w:val="22"/>
        </w:rPr>
        <w:fldChar w:fldCharType="separate"/>
      </w:r>
      <w:hyperlink w:anchor="_Toc376861302" w:history="1">
        <w:r w:rsidRPr="008E14D6">
          <w:rPr>
            <w:rStyle w:val="Hyperlink"/>
            <w:rFonts w:ascii="Arial" w:hAnsi="Arial" w:cs="Arial"/>
            <w:noProof/>
          </w:rPr>
          <w:t>1.</w:t>
        </w:r>
        <w:r>
          <w:rPr>
            <w:rFonts w:asciiTheme="minorHAnsi" w:eastAsiaTheme="minorEastAsia" w:hAnsiTheme="minorHAnsi" w:cstheme="minorBidi"/>
            <w:noProof/>
            <w:sz w:val="22"/>
            <w:szCs w:val="22"/>
          </w:rPr>
          <w:tab/>
        </w:r>
        <w:r w:rsidRPr="008E14D6">
          <w:rPr>
            <w:rStyle w:val="Hyperlink"/>
            <w:rFonts w:ascii="Arial" w:hAnsi="Arial" w:cs="Arial"/>
            <w:noProof/>
          </w:rPr>
          <w:t>Overview</w:t>
        </w:r>
        <w:r>
          <w:rPr>
            <w:noProof/>
            <w:webHidden/>
          </w:rPr>
          <w:tab/>
        </w:r>
        <w:r>
          <w:rPr>
            <w:noProof/>
            <w:webHidden/>
          </w:rPr>
          <w:fldChar w:fldCharType="begin"/>
        </w:r>
        <w:r>
          <w:rPr>
            <w:noProof/>
            <w:webHidden/>
          </w:rPr>
          <w:instrText xml:space="preserve"> PAGEREF _Toc376861302 \h </w:instrText>
        </w:r>
        <w:r>
          <w:rPr>
            <w:noProof/>
            <w:webHidden/>
          </w:rPr>
        </w:r>
        <w:r>
          <w:rPr>
            <w:noProof/>
            <w:webHidden/>
          </w:rPr>
          <w:fldChar w:fldCharType="separate"/>
        </w:r>
        <w:r>
          <w:rPr>
            <w:noProof/>
            <w:webHidden/>
          </w:rPr>
          <w:t>5</w:t>
        </w:r>
        <w:r>
          <w:rPr>
            <w:noProof/>
            <w:webHidden/>
          </w:rPr>
          <w:fldChar w:fldCharType="end"/>
        </w:r>
      </w:hyperlink>
    </w:p>
    <w:p w14:paraId="4B552F77" w14:textId="77777777" w:rsidR="00E756EC" w:rsidRDefault="00000000" w:rsidP="00E756EC">
      <w:pPr>
        <w:pStyle w:val="TOC1"/>
        <w:rPr>
          <w:rFonts w:asciiTheme="minorHAnsi" w:eastAsiaTheme="minorEastAsia" w:hAnsiTheme="minorHAnsi" w:cstheme="minorBidi"/>
          <w:noProof/>
          <w:sz w:val="22"/>
          <w:szCs w:val="22"/>
        </w:rPr>
      </w:pPr>
      <w:hyperlink w:anchor="_Toc376861303" w:history="1">
        <w:r w:rsidR="00E756EC" w:rsidRPr="008E14D6">
          <w:rPr>
            <w:rStyle w:val="Hyperlink"/>
            <w:rFonts w:ascii="Arial" w:hAnsi="Arial" w:cs="Arial"/>
            <w:noProof/>
          </w:rPr>
          <w:t>2.</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Eligibility</w:t>
        </w:r>
        <w:r w:rsidR="00E756EC">
          <w:rPr>
            <w:noProof/>
            <w:webHidden/>
          </w:rPr>
          <w:tab/>
        </w:r>
        <w:r w:rsidR="00E756EC">
          <w:rPr>
            <w:noProof/>
            <w:webHidden/>
          </w:rPr>
          <w:fldChar w:fldCharType="begin"/>
        </w:r>
        <w:r w:rsidR="00E756EC">
          <w:rPr>
            <w:noProof/>
            <w:webHidden/>
          </w:rPr>
          <w:instrText xml:space="preserve"> PAGEREF _Toc376861303 \h </w:instrText>
        </w:r>
        <w:r w:rsidR="00E756EC">
          <w:rPr>
            <w:noProof/>
            <w:webHidden/>
          </w:rPr>
        </w:r>
        <w:r w:rsidR="00E756EC">
          <w:rPr>
            <w:noProof/>
            <w:webHidden/>
          </w:rPr>
          <w:fldChar w:fldCharType="separate"/>
        </w:r>
        <w:r w:rsidR="00E756EC">
          <w:rPr>
            <w:noProof/>
            <w:webHidden/>
          </w:rPr>
          <w:t>5</w:t>
        </w:r>
        <w:r w:rsidR="00E756EC">
          <w:rPr>
            <w:noProof/>
            <w:webHidden/>
          </w:rPr>
          <w:fldChar w:fldCharType="end"/>
        </w:r>
      </w:hyperlink>
    </w:p>
    <w:p w14:paraId="1E0ACA9D" w14:textId="77777777" w:rsidR="00E756EC" w:rsidRDefault="00000000" w:rsidP="00E756EC">
      <w:pPr>
        <w:pStyle w:val="TOC1"/>
        <w:rPr>
          <w:rFonts w:asciiTheme="minorHAnsi" w:eastAsiaTheme="minorEastAsia" w:hAnsiTheme="minorHAnsi" w:cstheme="minorBidi"/>
          <w:noProof/>
          <w:sz w:val="22"/>
          <w:szCs w:val="22"/>
        </w:rPr>
      </w:pPr>
      <w:hyperlink w:anchor="_Toc376861304" w:history="1">
        <w:r w:rsidR="00E756EC" w:rsidRPr="008E14D6">
          <w:rPr>
            <w:rStyle w:val="Hyperlink"/>
            <w:rFonts w:ascii="Arial" w:hAnsi="Arial" w:cs="Arial"/>
            <w:noProof/>
          </w:rPr>
          <w:t>3.</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Participation</w:t>
        </w:r>
        <w:r w:rsidR="00E756EC">
          <w:rPr>
            <w:noProof/>
            <w:webHidden/>
          </w:rPr>
          <w:tab/>
        </w:r>
        <w:r w:rsidR="00E756EC">
          <w:rPr>
            <w:noProof/>
            <w:webHidden/>
          </w:rPr>
          <w:fldChar w:fldCharType="begin"/>
        </w:r>
        <w:r w:rsidR="00E756EC">
          <w:rPr>
            <w:noProof/>
            <w:webHidden/>
          </w:rPr>
          <w:instrText xml:space="preserve"> PAGEREF _Toc376861304 \h </w:instrText>
        </w:r>
        <w:r w:rsidR="00E756EC">
          <w:rPr>
            <w:noProof/>
            <w:webHidden/>
          </w:rPr>
        </w:r>
        <w:r w:rsidR="00E756EC">
          <w:rPr>
            <w:noProof/>
            <w:webHidden/>
          </w:rPr>
          <w:fldChar w:fldCharType="separate"/>
        </w:r>
        <w:r w:rsidR="00E756EC">
          <w:rPr>
            <w:noProof/>
            <w:webHidden/>
          </w:rPr>
          <w:t>5</w:t>
        </w:r>
        <w:r w:rsidR="00E756EC">
          <w:rPr>
            <w:noProof/>
            <w:webHidden/>
          </w:rPr>
          <w:fldChar w:fldCharType="end"/>
        </w:r>
      </w:hyperlink>
    </w:p>
    <w:p w14:paraId="1F0BAF78" w14:textId="77777777" w:rsidR="00E756EC" w:rsidRDefault="00000000" w:rsidP="00E756EC">
      <w:pPr>
        <w:pStyle w:val="TOC1"/>
        <w:rPr>
          <w:rFonts w:asciiTheme="minorHAnsi" w:eastAsiaTheme="minorEastAsia" w:hAnsiTheme="minorHAnsi" w:cstheme="minorBidi"/>
          <w:noProof/>
          <w:sz w:val="22"/>
          <w:szCs w:val="22"/>
        </w:rPr>
      </w:pPr>
      <w:hyperlink w:anchor="_Toc376861305" w:history="1">
        <w:r w:rsidR="00E756EC" w:rsidRPr="008E14D6">
          <w:rPr>
            <w:rStyle w:val="Hyperlink"/>
            <w:rFonts w:ascii="Arial" w:hAnsi="Arial" w:cs="Arial"/>
            <w:noProof/>
          </w:rPr>
          <w:t>4.</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Plan Acknowledgement Form (PAF)</w:t>
        </w:r>
        <w:r w:rsidR="00E756EC">
          <w:rPr>
            <w:noProof/>
            <w:webHidden/>
          </w:rPr>
          <w:tab/>
        </w:r>
        <w:r w:rsidR="00E756EC">
          <w:rPr>
            <w:noProof/>
            <w:webHidden/>
          </w:rPr>
          <w:fldChar w:fldCharType="begin"/>
        </w:r>
        <w:r w:rsidR="00E756EC">
          <w:rPr>
            <w:noProof/>
            <w:webHidden/>
          </w:rPr>
          <w:instrText xml:space="preserve"> PAGEREF _Toc376861305 \h </w:instrText>
        </w:r>
        <w:r w:rsidR="00E756EC">
          <w:rPr>
            <w:noProof/>
            <w:webHidden/>
          </w:rPr>
        </w:r>
        <w:r w:rsidR="00E756EC">
          <w:rPr>
            <w:noProof/>
            <w:webHidden/>
          </w:rPr>
          <w:fldChar w:fldCharType="separate"/>
        </w:r>
        <w:r w:rsidR="00E756EC">
          <w:rPr>
            <w:noProof/>
            <w:webHidden/>
          </w:rPr>
          <w:t>5</w:t>
        </w:r>
        <w:r w:rsidR="00E756EC">
          <w:rPr>
            <w:noProof/>
            <w:webHidden/>
          </w:rPr>
          <w:fldChar w:fldCharType="end"/>
        </w:r>
      </w:hyperlink>
    </w:p>
    <w:p w14:paraId="1E575E8B" w14:textId="77777777" w:rsidR="00E756EC" w:rsidRDefault="00000000" w:rsidP="00E756EC">
      <w:pPr>
        <w:pStyle w:val="TOC1"/>
        <w:rPr>
          <w:rFonts w:asciiTheme="minorHAnsi" w:eastAsiaTheme="minorEastAsia" w:hAnsiTheme="minorHAnsi" w:cstheme="minorBidi"/>
          <w:noProof/>
          <w:sz w:val="22"/>
          <w:szCs w:val="22"/>
        </w:rPr>
      </w:pPr>
      <w:hyperlink w:anchor="_Toc376861306" w:history="1">
        <w:r w:rsidR="00E756EC" w:rsidRPr="008E14D6">
          <w:rPr>
            <w:rStyle w:val="Hyperlink"/>
            <w:rFonts w:ascii="Arial" w:hAnsi="Arial" w:cs="Arial"/>
            <w:noProof/>
          </w:rPr>
          <w:t>5.</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Terms and Conditions</w:t>
        </w:r>
        <w:r w:rsidR="00E756EC">
          <w:rPr>
            <w:noProof/>
            <w:webHidden/>
          </w:rPr>
          <w:tab/>
        </w:r>
        <w:r w:rsidR="00E756EC">
          <w:rPr>
            <w:noProof/>
            <w:webHidden/>
          </w:rPr>
          <w:fldChar w:fldCharType="begin"/>
        </w:r>
        <w:r w:rsidR="00E756EC">
          <w:rPr>
            <w:noProof/>
            <w:webHidden/>
          </w:rPr>
          <w:instrText xml:space="preserve"> PAGEREF _Toc376861306 \h </w:instrText>
        </w:r>
        <w:r w:rsidR="00E756EC">
          <w:rPr>
            <w:noProof/>
            <w:webHidden/>
          </w:rPr>
        </w:r>
        <w:r w:rsidR="00E756EC">
          <w:rPr>
            <w:noProof/>
            <w:webHidden/>
          </w:rPr>
          <w:fldChar w:fldCharType="separate"/>
        </w:r>
        <w:r w:rsidR="00E756EC">
          <w:rPr>
            <w:noProof/>
            <w:webHidden/>
          </w:rPr>
          <w:t>5</w:t>
        </w:r>
        <w:r w:rsidR="00E756EC">
          <w:rPr>
            <w:noProof/>
            <w:webHidden/>
          </w:rPr>
          <w:fldChar w:fldCharType="end"/>
        </w:r>
      </w:hyperlink>
    </w:p>
    <w:p w14:paraId="18D2CD12" w14:textId="77777777" w:rsidR="00E756EC" w:rsidRDefault="00000000" w:rsidP="00E756EC">
      <w:pPr>
        <w:pStyle w:val="TOC2"/>
        <w:rPr>
          <w:rFonts w:asciiTheme="minorHAnsi" w:eastAsiaTheme="minorEastAsia" w:hAnsiTheme="minorHAnsi" w:cstheme="minorBidi"/>
          <w:noProof/>
          <w:sz w:val="22"/>
          <w:szCs w:val="22"/>
        </w:rPr>
      </w:pPr>
      <w:hyperlink w:anchor="_Toc376861307" w:history="1">
        <w:r w:rsidR="00E756EC" w:rsidRPr="008E14D6">
          <w:rPr>
            <w:rStyle w:val="Hyperlink"/>
            <w:rFonts w:ascii="Arial" w:hAnsi="Arial" w:cs="Arial"/>
            <w:noProof/>
          </w:rPr>
          <w:t>a.</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Plan Effective Date</w:t>
        </w:r>
        <w:r w:rsidR="00E756EC">
          <w:rPr>
            <w:noProof/>
            <w:webHidden/>
          </w:rPr>
          <w:tab/>
        </w:r>
        <w:r w:rsidR="00E756EC">
          <w:rPr>
            <w:noProof/>
            <w:webHidden/>
          </w:rPr>
          <w:fldChar w:fldCharType="begin"/>
        </w:r>
        <w:r w:rsidR="00E756EC">
          <w:rPr>
            <w:noProof/>
            <w:webHidden/>
          </w:rPr>
          <w:instrText xml:space="preserve"> PAGEREF _Toc376861307 \h </w:instrText>
        </w:r>
        <w:r w:rsidR="00E756EC">
          <w:rPr>
            <w:noProof/>
            <w:webHidden/>
          </w:rPr>
        </w:r>
        <w:r w:rsidR="00E756EC">
          <w:rPr>
            <w:noProof/>
            <w:webHidden/>
          </w:rPr>
          <w:fldChar w:fldCharType="separate"/>
        </w:r>
        <w:r w:rsidR="00E756EC">
          <w:rPr>
            <w:noProof/>
            <w:webHidden/>
          </w:rPr>
          <w:t>5</w:t>
        </w:r>
        <w:r w:rsidR="00E756EC">
          <w:rPr>
            <w:noProof/>
            <w:webHidden/>
          </w:rPr>
          <w:fldChar w:fldCharType="end"/>
        </w:r>
      </w:hyperlink>
    </w:p>
    <w:p w14:paraId="6A11E575" w14:textId="77777777" w:rsidR="00E756EC" w:rsidRDefault="00000000" w:rsidP="00E756EC">
      <w:pPr>
        <w:pStyle w:val="TOC2"/>
        <w:rPr>
          <w:rFonts w:asciiTheme="minorHAnsi" w:eastAsiaTheme="minorEastAsia" w:hAnsiTheme="minorHAnsi" w:cstheme="minorBidi"/>
          <w:noProof/>
          <w:sz w:val="22"/>
          <w:szCs w:val="22"/>
        </w:rPr>
      </w:pPr>
      <w:hyperlink w:anchor="_Toc376861308" w:history="1">
        <w:r w:rsidR="00E756EC" w:rsidRPr="008E14D6">
          <w:rPr>
            <w:rStyle w:val="Hyperlink"/>
            <w:rFonts w:ascii="Arial" w:hAnsi="Arial" w:cs="Arial"/>
            <w:noProof/>
          </w:rPr>
          <w:t>b.</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Plan Confidentiality</w:t>
        </w:r>
        <w:r w:rsidR="00E756EC">
          <w:rPr>
            <w:noProof/>
            <w:webHidden/>
          </w:rPr>
          <w:tab/>
        </w:r>
        <w:r w:rsidR="00E756EC">
          <w:rPr>
            <w:noProof/>
            <w:webHidden/>
          </w:rPr>
          <w:fldChar w:fldCharType="begin"/>
        </w:r>
        <w:r w:rsidR="00E756EC">
          <w:rPr>
            <w:noProof/>
            <w:webHidden/>
          </w:rPr>
          <w:instrText xml:space="preserve"> PAGEREF _Toc376861308 \h </w:instrText>
        </w:r>
        <w:r w:rsidR="00E756EC">
          <w:rPr>
            <w:noProof/>
            <w:webHidden/>
          </w:rPr>
        </w:r>
        <w:r w:rsidR="00E756EC">
          <w:rPr>
            <w:noProof/>
            <w:webHidden/>
          </w:rPr>
          <w:fldChar w:fldCharType="separate"/>
        </w:r>
        <w:r w:rsidR="00E756EC">
          <w:rPr>
            <w:noProof/>
            <w:webHidden/>
          </w:rPr>
          <w:t>5</w:t>
        </w:r>
        <w:r w:rsidR="00E756EC">
          <w:rPr>
            <w:noProof/>
            <w:webHidden/>
          </w:rPr>
          <w:fldChar w:fldCharType="end"/>
        </w:r>
      </w:hyperlink>
    </w:p>
    <w:p w14:paraId="4B9CA301" w14:textId="77777777" w:rsidR="00E756EC" w:rsidRDefault="00000000" w:rsidP="00E756EC">
      <w:pPr>
        <w:pStyle w:val="TOC2"/>
        <w:rPr>
          <w:rFonts w:asciiTheme="minorHAnsi" w:eastAsiaTheme="minorEastAsia" w:hAnsiTheme="minorHAnsi" w:cstheme="minorBidi"/>
          <w:noProof/>
          <w:sz w:val="22"/>
          <w:szCs w:val="22"/>
        </w:rPr>
      </w:pPr>
      <w:hyperlink w:anchor="_Toc376861309" w:history="1">
        <w:r w:rsidR="00E756EC" w:rsidRPr="008E14D6">
          <w:rPr>
            <w:rStyle w:val="Hyperlink"/>
            <w:rFonts w:ascii="Arial" w:hAnsi="Arial" w:cs="Arial"/>
            <w:noProof/>
          </w:rPr>
          <w:t>c.</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No Employment Agreement</w:t>
        </w:r>
        <w:r w:rsidR="00E756EC">
          <w:rPr>
            <w:noProof/>
            <w:webHidden/>
          </w:rPr>
          <w:tab/>
        </w:r>
        <w:r w:rsidR="00E756EC">
          <w:rPr>
            <w:noProof/>
            <w:webHidden/>
          </w:rPr>
          <w:fldChar w:fldCharType="begin"/>
        </w:r>
        <w:r w:rsidR="00E756EC">
          <w:rPr>
            <w:noProof/>
            <w:webHidden/>
          </w:rPr>
          <w:instrText xml:space="preserve"> PAGEREF _Toc376861309 \h </w:instrText>
        </w:r>
        <w:r w:rsidR="00E756EC">
          <w:rPr>
            <w:noProof/>
            <w:webHidden/>
          </w:rPr>
        </w:r>
        <w:r w:rsidR="00E756EC">
          <w:rPr>
            <w:noProof/>
            <w:webHidden/>
          </w:rPr>
          <w:fldChar w:fldCharType="separate"/>
        </w:r>
        <w:r w:rsidR="00E756EC">
          <w:rPr>
            <w:noProof/>
            <w:webHidden/>
          </w:rPr>
          <w:t>5</w:t>
        </w:r>
        <w:r w:rsidR="00E756EC">
          <w:rPr>
            <w:noProof/>
            <w:webHidden/>
          </w:rPr>
          <w:fldChar w:fldCharType="end"/>
        </w:r>
      </w:hyperlink>
    </w:p>
    <w:p w14:paraId="53262D9C" w14:textId="77777777" w:rsidR="00E756EC" w:rsidRDefault="00000000" w:rsidP="00E756EC">
      <w:pPr>
        <w:pStyle w:val="TOC2"/>
        <w:rPr>
          <w:rFonts w:asciiTheme="minorHAnsi" w:eastAsiaTheme="minorEastAsia" w:hAnsiTheme="minorHAnsi" w:cstheme="minorBidi"/>
          <w:noProof/>
          <w:sz w:val="22"/>
          <w:szCs w:val="22"/>
        </w:rPr>
      </w:pPr>
      <w:hyperlink w:anchor="_Toc376861310" w:history="1">
        <w:r w:rsidR="00E756EC" w:rsidRPr="008E14D6">
          <w:rPr>
            <w:rStyle w:val="Hyperlink"/>
            <w:rFonts w:ascii="Arial" w:hAnsi="Arial" w:cs="Arial"/>
            <w:noProof/>
          </w:rPr>
          <w:t>d.</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Competitive Business Agreement</w:t>
        </w:r>
        <w:r w:rsidR="00E756EC">
          <w:rPr>
            <w:noProof/>
            <w:webHidden/>
          </w:rPr>
          <w:tab/>
        </w:r>
        <w:r w:rsidR="00E756EC">
          <w:rPr>
            <w:noProof/>
            <w:webHidden/>
          </w:rPr>
          <w:fldChar w:fldCharType="begin"/>
        </w:r>
        <w:r w:rsidR="00E756EC">
          <w:rPr>
            <w:noProof/>
            <w:webHidden/>
          </w:rPr>
          <w:instrText xml:space="preserve"> PAGEREF _Toc376861310 \h </w:instrText>
        </w:r>
        <w:r w:rsidR="00E756EC">
          <w:rPr>
            <w:noProof/>
            <w:webHidden/>
          </w:rPr>
        </w:r>
        <w:r w:rsidR="00E756EC">
          <w:rPr>
            <w:noProof/>
            <w:webHidden/>
          </w:rPr>
          <w:fldChar w:fldCharType="separate"/>
        </w:r>
        <w:r w:rsidR="00E756EC">
          <w:rPr>
            <w:noProof/>
            <w:webHidden/>
          </w:rPr>
          <w:t>5</w:t>
        </w:r>
        <w:r w:rsidR="00E756EC">
          <w:rPr>
            <w:noProof/>
            <w:webHidden/>
          </w:rPr>
          <w:fldChar w:fldCharType="end"/>
        </w:r>
      </w:hyperlink>
    </w:p>
    <w:p w14:paraId="7AB0A81D" w14:textId="77777777" w:rsidR="00E756EC" w:rsidRDefault="00000000" w:rsidP="00E756EC">
      <w:pPr>
        <w:pStyle w:val="TOC2"/>
        <w:rPr>
          <w:rFonts w:asciiTheme="minorHAnsi" w:eastAsiaTheme="minorEastAsia" w:hAnsiTheme="minorHAnsi" w:cstheme="minorBidi"/>
          <w:noProof/>
          <w:sz w:val="22"/>
          <w:szCs w:val="22"/>
        </w:rPr>
      </w:pPr>
      <w:hyperlink w:anchor="_Toc376861311" w:history="1">
        <w:r w:rsidR="00E756EC" w:rsidRPr="008E14D6">
          <w:rPr>
            <w:rStyle w:val="Hyperlink"/>
            <w:rFonts w:ascii="Arial" w:hAnsi="Arial" w:cs="Arial"/>
            <w:noProof/>
          </w:rPr>
          <w:t>e.</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Ethical Conduct</w:t>
        </w:r>
        <w:r w:rsidR="00E756EC">
          <w:rPr>
            <w:noProof/>
            <w:webHidden/>
          </w:rPr>
          <w:tab/>
        </w:r>
        <w:r w:rsidR="00E756EC">
          <w:rPr>
            <w:noProof/>
            <w:webHidden/>
          </w:rPr>
          <w:fldChar w:fldCharType="begin"/>
        </w:r>
        <w:r w:rsidR="00E756EC">
          <w:rPr>
            <w:noProof/>
            <w:webHidden/>
          </w:rPr>
          <w:instrText xml:space="preserve"> PAGEREF _Toc376861311 \h </w:instrText>
        </w:r>
        <w:r w:rsidR="00E756EC">
          <w:rPr>
            <w:noProof/>
            <w:webHidden/>
          </w:rPr>
        </w:r>
        <w:r w:rsidR="00E756EC">
          <w:rPr>
            <w:noProof/>
            <w:webHidden/>
          </w:rPr>
          <w:fldChar w:fldCharType="separate"/>
        </w:r>
        <w:r w:rsidR="00E756EC">
          <w:rPr>
            <w:noProof/>
            <w:webHidden/>
          </w:rPr>
          <w:t>6</w:t>
        </w:r>
        <w:r w:rsidR="00E756EC">
          <w:rPr>
            <w:noProof/>
            <w:webHidden/>
          </w:rPr>
          <w:fldChar w:fldCharType="end"/>
        </w:r>
      </w:hyperlink>
    </w:p>
    <w:p w14:paraId="662E56B2" w14:textId="77777777" w:rsidR="00E756EC" w:rsidRDefault="00000000" w:rsidP="00E756EC">
      <w:pPr>
        <w:pStyle w:val="TOC2"/>
        <w:rPr>
          <w:rFonts w:asciiTheme="minorHAnsi" w:eastAsiaTheme="minorEastAsia" w:hAnsiTheme="minorHAnsi" w:cstheme="minorBidi"/>
          <w:noProof/>
          <w:sz w:val="22"/>
          <w:szCs w:val="22"/>
        </w:rPr>
      </w:pPr>
      <w:hyperlink w:anchor="_Toc376861312" w:history="1">
        <w:r w:rsidR="00E756EC" w:rsidRPr="008E14D6">
          <w:rPr>
            <w:rStyle w:val="Hyperlink"/>
            <w:rFonts w:ascii="Arial" w:hAnsi="Arial" w:cs="Arial"/>
            <w:noProof/>
          </w:rPr>
          <w:t>f.</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Right to Amend Plan</w:t>
        </w:r>
        <w:r w:rsidR="00E756EC">
          <w:rPr>
            <w:noProof/>
            <w:webHidden/>
          </w:rPr>
          <w:tab/>
        </w:r>
        <w:r w:rsidR="00E756EC">
          <w:rPr>
            <w:noProof/>
            <w:webHidden/>
          </w:rPr>
          <w:fldChar w:fldCharType="begin"/>
        </w:r>
        <w:r w:rsidR="00E756EC">
          <w:rPr>
            <w:noProof/>
            <w:webHidden/>
          </w:rPr>
          <w:instrText xml:space="preserve"> PAGEREF _Toc376861312 \h </w:instrText>
        </w:r>
        <w:r w:rsidR="00E756EC">
          <w:rPr>
            <w:noProof/>
            <w:webHidden/>
          </w:rPr>
        </w:r>
        <w:r w:rsidR="00E756EC">
          <w:rPr>
            <w:noProof/>
            <w:webHidden/>
          </w:rPr>
          <w:fldChar w:fldCharType="separate"/>
        </w:r>
        <w:r w:rsidR="00E756EC">
          <w:rPr>
            <w:noProof/>
            <w:webHidden/>
          </w:rPr>
          <w:t>6</w:t>
        </w:r>
        <w:r w:rsidR="00E756EC">
          <w:rPr>
            <w:noProof/>
            <w:webHidden/>
          </w:rPr>
          <w:fldChar w:fldCharType="end"/>
        </w:r>
      </w:hyperlink>
    </w:p>
    <w:p w14:paraId="1AC0D5BD" w14:textId="77777777" w:rsidR="00E756EC" w:rsidRDefault="00000000" w:rsidP="00E756EC">
      <w:pPr>
        <w:pStyle w:val="TOC2"/>
        <w:rPr>
          <w:rFonts w:asciiTheme="minorHAnsi" w:eastAsiaTheme="minorEastAsia" w:hAnsiTheme="minorHAnsi" w:cstheme="minorBidi"/>
          <w:noProof/>
          <w:sz w:val="22"/>
          <w:szCs w:val="22"/>
        </w:rPr>
      </w:pPr>
      <w:hyperlink w:anchor="_Toc376861313" w:history="1">
        <w:r w:rsidR="00E756EC" w:rsidRPr="008E14D6">
          <w:rPr>
            <w:rStyle w:val="Hyperlink"/>
            <w:rFonts w:ascii="Arial" w:hAnsi="Arial" w:cs="Arial"/>
            <w:noProof/>
          </w:rPr>
          <w:t>g.</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Plan Interpretation</w:t>
        </w:r>
        <w:r w:rsidR="00E756EC">
          <w:rPr>
            <w:noProof/>
            <w:webHidden/>
          </w:rPr>
          <w:tab/>
        </w:r>
        <w:r w:rsidR="00E756EC">
          <w:rPr>
            <w:noProof/>
            <w:webHidden/>
          </w:rPr>
          <w:fldChar w:fldCharType="begin"/>
        </w:r>
        <w:r w:rsidR="00E756EC">
          <w:rPr>
            <w:noProof/>
            <w:webHidden/>
          </w:rPr>
          <w:instrText xml:space="preserve"> PAGEREF _Toc376861313 \h </w:instrText>
        </w:r>
        <w:r w:rsidR="00E756EC">
          <w:rPr>
            <w:noProof/>
            <w:webHidden/>
          </w:rPr>
        </w:r>
        <w:r w:rsidR="00E756EC">
          <w:rPr>
            <w:noProof/>
            <w:webHidden/>
          </w:rPr>
          <w:fldChar w:fldCharType="separate"/>
        </w:r>
        <w:r w:rsidR="00E756EC">
          <w:rPr>
            <w:noProof/>
            <w:webHidden/>
          </w:rPr>
          <w:t>6</w:t>
        </w:r>
        <w:r w:rsidR="00E756EC">
          <w:rPr>
            <w:noProof/>
            <w:webHidden/>
          </w:rPr>
          <w:fldChar w:fldCharType="end"/>
        </w:r>
      </w:hyperlink>
    </w:p>
    <w:p w14:paraId="72D47CCA" w14:textId="77777777" w:rsidR="00E756EC" w:rsidRDefault="00000000" w:rsidP="00E756EC">
      <w:pPr>
        <w:pStyle w:val="TOC2"/>
        <w:rPr>
          <w:rFonts w:asciiTheme="minorHAnsi" w:eastAsiaTheme="minorEastAsia" w:hAnsiTheme="minorHAnsi" w:cstheme="minorBidi"/>
          <w:noProof/>
          <w:sz w:val="22"/>
          <w:szCs w:val="22"/>
        </w:rPr>
      </w:pPr>
      <w:hyperlink w:anchor="_Toc376861314" w:history="1">
        <w:r w:rsidR="00E756EC" w:rsidRPr="008E14D6">
          <w:rPr>
            <w:rStyle w:val="Hyperlink"/>
            <w:rFonts w:ascii="Arial" w:hAnsi="Arial" w:cs="Arial"/>
            <w:noProof/>
          </w:rPr>
          <w:t>h.</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Questions</w:t>
        </w:r>
        <w:r w:rsidR="00E756EC">
          <w:rPr>
            <w:noProof/>
            <w:webHidden/>
          </w:rPr>
          <w:tab/>
        </w:r>
        <w:r w:rsidR="00E756EC">
          <w:rPr>
            <w:noProof/>
            <w:webHidden/>
          </w:rPr>
          <w:fldChar w:fldCharType="begin"/>
        </w:r>
        <w:r w:rsidR="00E756EC">
          <w:rPr>
            <w:noProof/>
            <w:webHidden/>
          </w:rPr>
          <w:instrText xml:space="preserve"> PAGEREF _Toc376861314 \h </w:instrText>
        </w:r>
        <w:r w:rsidR="00E756EC">
          <w:rPr>
            <w:noProof/>
            <w:webHidden/>
          </w:rPr>
        </w:r>
        <w:r w:rsidR="00E756EC">
          <w:rPr>
            <w:noProof/>
            <w:webHidden/>
          </w:rPr>
          <w:fldChar w:fldCharType="separate"/>
        </w:r>
        <w:r w:rsidR="00E756EC">
          <w:rPr>
            <w:noProof/>
            <w:webHidden/>
          </w:rPr>
          <w:t>6</w:t>
        </w:r>
        <w:r w:rsidR="00E756EC">
          <w:rPr>
            <w:noProof/>
            <w:webHidden/>
          </w:rPr>
          <w:fldChar w:fldCharType="end"/>
        </w:r>
      </w:hyperlink>
    </w:p>
    <w:p w14:paraId="5CC43603" w14:textId="77777777" w:rsidR="00E756EC" w:rsidRDefault="00000000" w:rsidP="00E756EC">
      <w:pPr>
        <w:pStyle w:val="TOC1"/>
        <w:rPr>
          <w:rFonts w:asciiTheme="minorHAnsi" w:eastAsiaTheme="minorEastAsia" w:hAnsiTheme="minorHAnsi" w:cstheme="minorBidi"/>
          <w:noProof/>
          <w:sz w:val="22"/>
          <w:szCs w:val="22"/>
        </w:rPr>
      </w:pPr>
      <w:hyperlink w:anchor="_Toc376861315" w:history="1">
        <w:r w:rsidR="00E756EC" w:rsidRPr="008E14D6">
          <w:rPr>
            <w:rStyle w:val="Hyperlink"/>
            <w:rFonts w:ascii="Arial" w:hAnsi="Arial" w:cs="Arial"/>
            <w:noProof/>
          </w:rPr>
          <w:t>6.</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Compensation Elements</w:t>
        </w:r>
        <w:r w:rsidR="00E756EC">
          <w:rPr>
            <w:noProof/>
            <w:webHidden/>
          </w:rPr>
          <w:tab/>
        </w:r>
        <w:r w:rsidR="00E756EC">
          <w:rPr>
            <w:noProof/>
            <w:webHidden/>
          </w:rPr>
          <w:fldChar w:fldCharType="begin"/>
        </w:r>
        <w:r w:rsidR="00E756EC">
          <w:rPr>
            <w:noProof/>
            <w:webHidden/>
          </w:rPr>
          <w:instrText xml:space="preserve"> PAGEREF _Toc376861315 \h </w:instrText>
        </w:r>
        <w:r w:rsidR="00E756EC">
          <w:rPr>
            <w:noProof/>
            <w:webHidden/>
          </w:rPr>
        </w:r>
        <w:r w:rsidR="00E756EC">
          <w:rPr>
            <w:noProof/>
            <w:webHidden/>
          </w:rPr>
          <w:fldChar w:fldCharType="separate"/>
        </w:r>
        <w:r w:rsidR="00E756EC">
          <w:rPr>
            <w:noProof/>
            <w:webHidden/>
          </w:rPr>
          <w:t>6</w:t>
        </w:r>
        <w:r w:rsidR="00E756EC">
          <w:rPr>
            <w:noProof/>
            <w:webHidden/>
          </w:rPr>
          <w:fldChar w:fldCharType="end"/>
        </w:r>
      </w:hyperlink>
    </w:p>
    <w:p w14:paraId="6E58E8D4" w14:textId="77777777" w:rsidR="00E756EC" w:rsidRDefault="00000000" w:rsidP="00E756EC">
      <w:pPr>
        <w:pStyle w:val="TOC2"/>
        <w:rPr>
          <w:rFonts w:asciiTheme="minorHAnsi" w:eastAsiaTheme="minorEastAsia" w:hAnsiTheme="minorHAnsi" w:cstheme="minorBidi"/>
          <w:noProof/>
          <w:sz w:val="22"/>
          <w:szCs w:val="22"/>
        </w:rPr>
      </w:pPr>
      <w:hyperlink w:anchor="_Toc376861316" w:history="1">
        <w:r w:rsidR="00E756EC" w:rsidRPr="008E14D6">
          <w:rPr>
            <w:rStyle w:val="Hyperlink"/>
            <w:rFonts w:ascii="Arial" w:hAnsi="Arial" w:cs="Arial"/>
            <w:noProof/>
          </w:rPr>
          <w:t>a.</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Base Salary</w:t>
        </w:r>
        <w:r w:rsidR="00E756EC">
          <w:rPr>
            <w:noProof/>
            <w:webHidden/>
          </w:rPr>
          <w:tab/>
        </w:r>
        <w:r w:rsidR="00E756EC">
          <w:rPr>
            <w:noProof/>
            <w:webHidden/>
          </w:rPr>
          <w:fldChar w:fldCharType="begin"/>
        </w:r>
        <w:r w:rsidR="00E756EC">
          <w:rPr>
            <w:noProof/>
            <w:webHidden/>
          </w:rPr>
          <w:instrText xml:space="preserve"> PAGEREF _Toc376861316 \h </w:instrText>
        </w:r>
        <w:r w:rsidR="00E756EC">
          <w:rPr>
            <w:noProof/>
            <w:webHidden/>
          </w:rPr>
        </w:r>
        <w:r w:rsidR="00E756EC">
          <w:rPr>
            <w:noProof/>
            <w:webHidden/>
          </w:rPr>
          <w:fldChar w:fldCharType="separate"/>
        </w:r>
        <w:r w:rsidR="00E756EC">
          <w:rPr>
            <w:noProof/>
            <w:webHidden/>
          </w:rPr>
          <w:t>6</w:t>
        </w:r>
        <w:r w:rsidR="00E756EC">
          <w:rPr>
            <w:noProof/>
            <w:webHidden/>
          </w:rPr>
          <w:fldChar w:fldCharType="end"/>
        </w:r>
      </w:hyperlink>
    </w:p>
    <w:p w14:paraId="63E901C1" w14:textId="77777777" w:rsidR="00E756EC" w:rsidRDefault="00000000" w:rsidP="00E756EC">
      <w:pPr>
        <w:pStyle w:val="TOC2"/>
        <w:rPr>
          <w:rFonts w:asciiTheme="minorHAnsi" w:eastAsiaTheme="minorEastAsia" w:hAnsiTheme="minorHAnsi" w:cstheme="minorBidi"/>
          <w:noProof/>
          <w:sz w:val="22"/>
          <w:szCs w:val="22"/>
        </w:rPr>
      </w:pPr>
      <w:hyperlink w:anchor="_Toc376861317" w:history="1">
        <w:r w:rsidR="00E756EC" w:rsidRPr="008E14D6">
          <w:rPr>
            <w:rStyle w:val="Hyperlink"/>
            <w:rFonts w:ascii="Arial" w:hAnsi="Arial" w:cs="Arial"/>
            <w:noProof/>
          </w:rPr>
          <w:t>b.</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Incentives</w:t>
        </w:r>
        <w:r w:rsidR="00E756EC">
          <w:rPr>
            <w:noProof/>
            <w:webHidden/>
          </w:rPr>
          <w:tab/>
        </w:r>
        <w:r w:rsidR="00E756EC">
          <w:rPr>
            <w:noProof/>
            <w:webHidden/>
          </w:rPr>
          <w:fldChar w:fldCharType="begin"/>
        </w:r>
        <w:r w:rsidR="00E756EC">
          <w:rPr>
            <w:noProof/>
            <w:webHidden/>
          </w:rPr>
          <w:instrText xml:space="preserve"> PAGEREF _Toc376861317 \h </w:instrText>
        </w:r>
        <w:r w:rsidR="00E756EC">
          <w:rPr>
            <w:noProof/>
            <w:webHidden/>
          </w:rPr>
        </w:r>
        <w:r w:rsidR="00E756EC">
          <w:rPr>
            <w:noProof/>
            <w:webHidden/>
          </w:rPr>
          <w:fldChar w:fldCharType="separate"/>
        </w:r>
        <w:r w:rsidR="00E756EC">
          <w:rPr>
            <w:noProof/>
            <w:webHidden/>
          </w:rPr>
          <w:t>6</w:t>
        </w:r>
        <w:r w:rsidR="00E756EC">
          <w:rPr>
            <w:noProof/>
            <w:webHidden/>
          </w:rPr>
          <w:fldChar w:fldCharType="end"/>
        </w:r>
      </w:hyperlink>
    </w:p>
    <w:p w14:paraId="7CF522CD" w14:textId="77777777" w:rsidR="00E756EC" w:rsidRDefault="00000000" w:rsidP="00E756EC">
      <w:pPr>
        <w:pStyle w:val="TOC2"/>
        <w:rPr>
          <w:rFonts w:asciiTheme="minorHAnsi" w:eastAsiaTheme="minorEastAsia" w:hAnsiTheme="minorHAnsi" w:cstheme="minorBidi"/>
          <w:noProof/>
          <w:sz w:val="22"/>
          <w:szCs w:val="22"/>
        </w:rPr>
      </w:pPr>
      <w:hyperlink w:anchor="_Toc376861318" w:history="1">
        <w:r w:rsidR="00E756EC" w:rsidRPr="008E14D6">
          <w:rPr>
            <w:rStyle w:val="Hyperlink"/>
            <w:rFonts w:ascii="Arial" w:hAnsi="Arial" w:cs="Arial"/>
            <w:noProof/>
          </w:rPr>
          <w:t>c.</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Earned Incentives</w:t>
        </w:r>
        <w:r w:rsidR="00E756EC">
          <w:rPr>
            <w:noProof/>
            <w:webHidden/>
          </w:rPr>
          <w:tab/>
        </w:r>
        <w:r w:rsidR="00E756EC">
          <w:rPr>
            <w:noProof/>
            <w:webHidden/>
          </w:rPr>
          <w:fldChar w:fldCharType="begin"/>
        </w:r>
        <w:r w:rsidR="00E756EC">
          <w:rPr>
            <w:noProof/>
            <w:webHidden/>
          </w:rPr>
          <w:instrText xml:space="preserve"> PAGEREF _Toc376861318 \h </w:instrText>
        </w:r>
        <w:r w:rsidR="00E756EC">
          <w:rPr>
            <w:noProof/>
            <w:webHidden/>
          </w:rPr>
        </w:r>
        <w:r w:rsidR="00E756EC">
          <w:rPr>
            <w:noProof/>
            <w:webHidden/>
          </w:rPr>
          <w:fldChar w:fldCharType="separate"/>
        </w:r>
        <w:r w:rsidR="00E756EC">
          <w:rPr>
            <w:noProof/>
            <w:webHidden/>
          </w:rPr>
          <w:t>7</w:t>
        </w:r>
        <w:r w:rsidR="00E756EC">
          <w:rPr>
            <w:noProof/>
            <w:webHidden/>
          </w:rPr>
          <w:fldChar w:fldCharType="end"/>
        </w:r>
      </w:hyperlink>
    </w:p>
    <w:p w14:paraId="6344FC92" w14:textId="77777777" w:rsidR="00E756EC" w:rsidRDefault="00000000" w:rsidP="00E756EC">
      <w:pPr>
        <w:pStyle w:val="TOC2"/>
        <w:rPr>
          <w:rFonts w:asciiTheme="minorHAnsi" w:eastAsiaTheme="minorEastAsia" w:hAnsiTheme="minorHAnsi" w:cstheme="minorBidi"/>
          <w:noProof/>
          <w:sz w:val="22"/>
          <w:szCs w:val="22"/>
        </w:rPr>
      </w:pPr>
      <w:hyperlink w:anchor="_Toc376861319" w:history="1">
        <w:r w:rsidR="00E756EC" w:rsidRPr="008E14D6">
          <w:rPr>
            <w:rStyle w:val="Hyperlink"/>
            <w:rFonts w:ascii="Arial" w:hAnsi="Arial" w:cs="Arial"/>
            <w:noProof/>
          </w:rPr>
          <w:t>d.</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Split Policies</w:t>
        </w:r>
        <w:r w:rsidR="00E756EC">
          <w:rPr>
            <w:noProof/>
            <w:webHidden/>
          </w:rPr>
          <w:tab/>
        </w:r>
        <w:r w:rsidR="00E756EC">
          <w:rPr>
            <w:noProof/>
            <w:webHidden/>
          </w:rPr>
          <w:fldChar w:fldCharType="begin"/>
        </w:r>
        <w:r w:rsidR="00E756EC">
          <w:rPr>
            <w:noProof/>
            <w:webHidden/>
          </w:rPr>
          <w:instrText xml:space="preserve"> PAGEREF _Toc376861319 \h </w:instrText>
        </w:r>
        <w:r w:rsidR="00E756EC">
          <w:rPr>
            <w:noProof/>
            <w:webHidden/>
          </w:rPr>
        </w:r>
        <w:r w:rsidR="00E756EC">
          <w:rPr>
            <w:noProof/>
            <w:webHidden/>
          </w:rPr>
          <w:fldChar w:fldCharType="separate"/>
        </w:r>
        <w:r w:rsidR="00E756EC">
          <w:rPr>
            <w:noProof/>
            <w:webHidden/>
          </w:rPr>
          <w:t>7</w:t>
        </w:r>
        <w:r w:rsidR="00E756EC">
          <w:rPr>
            <w:noProof/>
            <w:webHidden/>
          </w:rPr>
          <w:fldChar w:fldCharType="end"/>
        </w:r>
      </w:hyperlink>
    </w:p>
    <w:p w14:paraId="689A4EAB" w14:textId="77777777" w:rsidR="00E756EC" w:rsidRDefault="00000000" w:rsidP="00E756EC">
      <w:pPr>
        <w:pStyle w:val="TOC2"/>
        <w:rPr>
          <w:rFonts w:asciiTheme="minorHAnsi" w:eastAsiaTheme="minorEastAsia" w:hAnsiTheme="minorHAnsi" w:cstheme="minorBidi"/>
          <w:noProof/>
          <w:sz w:val="22"/>
          <w:szCs w:val="22"/>
        </w:rPr>
      </w:pPr>
      <w:hyperlink w:anchor="_Toc376861320" w:history="1">
        <w:r w:rsidR="00E756EC" w:rsidRPr="008E14D6">
          <w:rPr>
            <w:rStyle w:val="Hyperlink"/>
            <w:rFonts w:ascii="Arial" w:hAnsi="Arial" w:cs="Arial"/>
            <w:noProof/>
          </w:rPr>
          <w:t>e.</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Windfall Policy</w:t>
        </w:r>
        <w:r w:rsidR="00E756EC">
          <w:rPr>
            <w:noProof/>
            <w:webHidden/>
          </w:rPr>
          <w:tab/>
        </w:r>
        <w:r w:rsidR="00E756EC">
          <w:rPr>
            <w:noProof/>
            <w:webHidden/>
          </w:rPr>
          <w:fldChar w:fldCharType="begin"/>
        </w:r>
        <w:r w:rsidR="00E756EC">
          <w:rPr>
            <w:noProof/>
            <w:webHidden/>
          </w:rPr>
          <w:instrText xml:space="preserve"> PAGEREF _Toc376861320 \h </w:instrText>
        </w:r>
        <w:r w:rsidR="00E756EC">
          <w:rPr>
            <w:noProof/>
            <w:webHidden/>
          </w:rPr>
        </w:r>
        <w:r w:rsidR="00E756EC">
          <w:rPr>
            <w:noProof/>
            <w:webHidden/>
          </w:rPr>
          <w:fldChar w:fldCharType="separate"/>
        </w:r>
        <w:r w:rsidR="00E756EC">
          <w:rPr>
            <w:noProof/>
            <w:webHidden/>
          </w:rPr>
          <w:t>7</w:t>
        </w:r>
        <w:r w:rsidR="00E756EC">
          <w:rPr>
            <w:noProof/>
            <w:webHidden/>
          </w:rPr>
          <w:fldChar w:fldCharType="end"/>
        </w:r>
      </w:hyperlink>
    </w:p>
    <w:p w14:paraId="02C8E9F7" w14:textId="77777777" w:rsidR="00E756EC" w:rsidRDefault="00000000" w:rsidP="00E756EC">
      <w:pPr>
        <w:pStyle w:val="TOC2"/>
        <w:rPr>
          <w:rFonts w:asciiTheme="minorHAnsi" w:eastAsiaTheme="minorEastAsia" w:hAnsiTheme="minorHAnsi" w:cstheme="minorBidi"/>
          <w:noProof/>
          <w:sz w:val="22"/>
          <w:szCs w:val="22"/>
        </w:rPr>
      </w:pPr>
      <w:hyperlink w:anchor="_Toc376861321" w:history="1">
        <w:r w:rsidR="00E756EC" w:rsidRPr="008E14D6">
          <w:rPr>
            <w:rStyle w:val="Hyperlink"/>
            <w:rFonts w:ascii="Arial" w:hAnsi="Arial" w:cs="Arial"/>
            <w:noProof/>
          </w:rPr>
          <w:t>f.</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Pro-ration Policy</w:t>
        </w:r>
        <w:r w:rsidR="00E756EC">
          <w:rPr>
            <w:noProof/>
            <w:webHidden/>
          </w:rPr>
          <w:tab/>
        </w:r>
        <w:r w:rsidR="00E756EC">
          <w:rPr>
            <w:noProof/>
            <w:webHidden/>
          </w:rPr>
          <w:fldChar w:fldCharType="begin"/>
        </w:r>
        <w:r w:rsidR="00E756EC">
          <w:rPr>
            <w:noProof/>
            <w:webHidden/>
          </w:rPr>
          <w:instrText xml:space="preserve"> PAGEREF _Toc376861321 \h </w:instrText>
        </w:r>
        <w:r w:rsidR="00E756EC">
          <w:rPr>
            <w:noProof/>
            <w:webHidden/>
          </w:rPr>
        </w:r>
        <w:r w:rsidR="00E756EC">
          <w:rPr>
            <w:noProof/>
            <w:webHidden/>
          </w:rPr>
          <w:fldChar w:fldCharType="separate"/>
        </w:r>
        <w:r w:rsidR="00E756EC">
          <w:rPr>
            <w:noProof/>
            <w:webHidden/>
          </w:rPr>
          <w:t>7</w:t>
        </w:r>
        <w:r w:rsidR="00E756EC">
          <w:rPr>
            <w:noProof/>
            <w:webHidden/>
          </w:rPr>
          <w:fldChar w:fldCharType="end"/>
        </w:r>
      </w:hyperlink>
    </w:p>
    <w:p w14:paraId="70C45529" w14:textId="77777777" w:rsidR="00E756EC" w:rsidRDefault="00000000" w:rsidP="00E756EC">
      <w:pPr>
        <w:pStyle w:val="TOC1"/>
        <w:rPr>
          <w:rFonts w:asciiTheme="minorHAnsi" w:eastAsiaTheme="minorEastAsia" w:hAnsiTheme="minorHAnsi" w:cstheme="minorBidi"/>
          <w:noProof/>
          <w:sz w:val="22"/>
          <w:szCs w:val="22"/>
        </w:rPr>
      </w:pPr>
      <w:hyperlink w:anchor="_Toc376861322" w:history="1">
        <w:r w:rsidR="00E756EC" w:rsidRPr="008E14D6">
          <w:rPr>
            <w:rStyle w:val="Hyperlink"/>
            <w:rFonts w:ascii="Arial" w:hAnsi="Arial" w:cs="Arial"/>
            <w:noProof/>
          </w:rPr>
          <w:t>7.</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Employment Changes</w:t>
        </w:r>
        <w:r w:rsidR="00E756EC">
          <w:rPr>
            <w:noProof/>
            <w:webHidden/>
          </w:rPr>
          <w:tab/>
        </w:r>
        <w:r w:rsidR="00E756EC">
          <w:rPr>
            <w:noProof/>
            <w:webHidden/>
          </w:rPr>
          <w:fldChar w:fldCharType="begin"/>
        </w:r>
        <w:r w:rsidR="00E756EC">
          <w:rPr>
            <w:noProof/>
            <w:webHidden/>
          </w:rPr>
          <w:instrText xml:space="preserve"> PAGEREF _Toc376861322 \h </w:instrText>
        </w:r>
        <w:r w:rsidR="00E756EC">
          <w:rPr>
            <w:noProof/>
            <w:webHidden/>
          </w:rPr>
        </w:r>
        <w:r w:rsidR="00E756EC">
          <w:rPr>
            <w:noProof/>
            <w:webHidden/>
          </w:rPr>
          <w:fldChar w:fldCharType="separate"/>
        </w:r>
        <w:r w:rsidR="00E756EC">
          <w:rPr>
            <w:noProof/>
            <w:webHidden/>
          </w:rPr>
          <w:t>7</w:t>
        </w:r>
        <w:r w:rsidR="00E756EC">
          <w:rPr>
            <w:noProof/>
            <w:webHidden/>
          </w:rPr>
          <w:fldChar w:fldCharType="end"/>
        </w:r>
      </w:hyperlink>
    </w:p>
    <w:p w14:paraId="3703FB16" w14:textId="77777777" w:rsidR="00E756EC" w:rsidRDefault="00000000" w:rsidP="00E756EC">
      <w:pPr>
        <w:pStyle w:val="TOC2"/>
        <w:rPr>
          <w:rFonts w:asciiTheme="minorHAnsi" w:eastAsiaTheme="minorEastAsia" w:hAnsiTheme="minorHAnsi" w:cstheme="minorBidi"/>
          <w:noProof/>
          <w:sz w:val="22"/>
          <w:szCs w:val="22"/>
        </w:rPr>
      </w:pPr>
      <w:hyperlink w:anchor="_Toc376861323" w:history="1">
        <w:r w:rsidR="00E756EC" w:rsidRPr="008E14D6">
          <w:rPr>
            <w:rStyle w:val="Hyperlink"/>
            <w:rFonts w:ascii="Arial" w:hAnsi="Arial" w:cs="Arial"/>
            <w:noProof/>
          </w:rPr>
          <w:t>a.</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New Hires/Transfers In to Sales</w:t>
        </w:r>
        <w:r w:rsidR="00E756EC">
          <w:rPr>
            <w:noProof/>
            <w:webHidden/>
          </w:rPr>
          <w:tab/>
        </w:r>
        <w:r w:rsidR="00E756EC">
          <w:rPr>
            <w:noProof/>
            <w:webHidden/>
          </w:rPr>
          <w:fldChar w:fldCharType="begin"/>
        </w:r>
        <w:r w:rsidR="00E756EC">
          <w:rPr>
            <w:noProof/>
            <w:webHidden/>
          </w:rPr>
          <w:instrText xml:space="preserve"> PAGEREF _Toc376861323 \h </w:instrText>
        </w:r>
        <w:r w:rsidR="00E756EC">
          <w:rPr>
            <w:noProof/>
            <w:webHidden/>
          </w:rPr>
        </w:r>
        <w:r w:rsidR="00E756EC">
          <w:rPr>
            <w:noProof/>
            <w:webHidden/>
          </w:rPr>
          <w:fldChar w:fldCharType="separate"/>
        </w:r>
        <w:r w:rsidR="00E756EC">
          <w:rPr>
            <w:noProof/>
            <w:webHidden/>
          </w:rPr>
          <w:t>7</w:t>
        </w:r>
        <w:r w:rsidR="00E756EC">
          <w:rPr>
            <w:noProof/>
            <w:webHidden/>
          </w:rPr>
          <w:fldChar w:fldCharType="end"/>
        </w:r>
      </w:hyperlink>
    </w:p>
    <w:p w14:paraId="2EC448B2" w14:textId="77777777" w:rsidR="00E756EC" w:rsidRDefault="00000000" w:rsidP="00E756EC">
      <w:pPr>
        <w:pStyle w:val="TOC2"/>
        <w:rPr>
          <w:rFonts w:asciiTheme="minorHAnsi" w:eastAsiaTheme="minorEastAsia" w:hAnsiTheme="minorHAnsi" w:cstheme="minorBidi"/>
          <w:noProof/>
          <w:sz w:val="22"/>
          <w:szCs w:val="22"/>
        </w:rPr>
      </w:pPr>
      <w:hyperlink w:anchor="_Toc376861324" w:history="1">
        <w:r w:rsidR="00E756EC" w:rsidRPr="008E14D6">
          <w:rPr>
            <w:rStyle w:val="Hyperlink"/>
            <w:rFonts w:ascii="Arial" w:hAnsi="Arial" w:cs="Arial"/>
            <w:noProof/>
          </w:rPr>
          <w:t>b.</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Resignation/Termination</w:t>
        </w:r>
        <w:r w:rsidR="00E756EC">
          <w:rPr>
            <w:noProof/>
            <w:webHidden/>
          </w:rPr>
          <w:tab/>
        </w:r>
        <w:r w:rsidR="00E756EC">
          <w:rPr>
            <w:noProof/>
            <w:webHidden/>
          </w:rPr>
          <w:fldChar w:fldCharType="begin"/>
        </w:r>
        <w:r w:rsidR="00E756EC">
          <w:rPr>
            <w:noProof/>
            <w:webHidden/>
          </w:rPr>
          <w:instrText xml:space="preserve"> PAGEREF _Toc376861324 \h </w:instrText>
        </w:r>
        <w:r w:rsidR="00E756EC">
          <w:rPr>
            <w:noProof/>
            <w:webHidden/>
          </w:rPr>
        </w:r>
        <w:r w:rsidR="00E756EC">
          <w:rPr>
            <w:noProof/>
            <w:webHidden/>
          </w:rPr>
          <w:fldChar w:fldCharType="separate"/>
        </w:r>
        <w:r w:rsidR="00E756EC">
          <w:rPr>
            <w:noProof/>
            <w:webHidden/>
          </w:rPr>
          <w:t>8</w:t>
        </w:r>
        <w:r w:rsidR="00E756EC">
          <w:rPr>
            <w:noProof/>
            <w:webHidden/>
          </w:rPr>
          <w:fldChar w:fldCharType="end"/>
        </w:r>
      </w:hyperlink>
    </w:p>
    <w:p w14:paraId="3B259601" w14:textId="77777777" w:rsidR="00E756EC" w:rsidRDefault="00000000" w:rsidP="00E756EC">
      <w:pPr>
        <w:pStyle w:val="TOC1"/>
        <w:rPr>
          <w:rFonts w:asciiTheme="minorHAnsi" w:eastAsiaTheme="minorEastAsia" w:hAnsiTheme="minorHAnsi" w:cstheme="minorBidi"/>
          <w:noProof/>
          <w:sz w:val="22"/>
          <w:szCs w:val="22"/>
        </w:rPr>
      </w:pPr>
      <w:hyperlink w:anchor="_Toc376861325" w:history="1">
        <w:r w:rsidR="00E756EC" w:rsidRPr="008E14D6">
          <w:rPr>
            <w:rStyle w:val="Hyperlink"/>
            <w:rFonts w:ascii="Arial" w:hAnsi="Arial" w:cs="Arial"/>
            <w:noProof/>
          </w:rPr>
          <w:t>8.</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Territories and Quotas</w:t>
        </w:r>
        <w:r w:rsidR="00E756EC">
          <w:rPr>
            <w:noProof/>
            <w:webHidden/>
          </w:rPr>
          <w:tab/>
        </w:r>
        <w:r w:rsidR="00E756EC">
          <w:rPr>
            <w:noProof/>
            <w:webHidden/>
          </w:rPr>
          <w:fldChar w:fldCharType="begin"/>
        </w:r>
        <w:r w:rsidR="00E756EC">
          <w:rPr>
            <w:noProof/>
            <w:webHidden/>
          </w:rPr>
          <w:instrText xml:space="preserve"> PAGEREF _Toc376861325 \h </w:instrText>
        </w:r>
        <w:r w:rsidR="00E756EC">
          <w:rPr>
            <w:noProof/>
            <w:webHidden/>
          </w:rPr>
        </w:r>
        <w:r w:rsidR="00E756EC">
          <w:rPr>
            <w:noProof/>
            <w:webHidden/>
          </w:rPr>
          <w:fldChar w:fldCharType="separate"/>
        </w:r>
        <w:r w:rsidR="00E756EC">
          <w:rPr>
            <w:noProof/>
            <w:webHidden/>
          </w:rPr>
          <w:t>8</w:t>
        </w:r>
        <w:r w:rsidR="00E756EC">
          <w:rPr>
            <w:noProof/>
            <w:webHidden/>
          </w:rPr>
          <w:fldChar w:fldCharType="end"/>
        </w:r>
      </w:hyperlink>
    </w:p>
    <w:p w14:paraId="2BF866D4" w14:textId="77777777" w:rsidR="00E756EC" w:rsidRDefault="00000000" w:rsidP="00E756EC">
      <w:pPr>
        <w:pStyle w:val="TOC2"/>
        <w:rPr>
          <w:rFonts w:asciiTheme="minorHAnsi" w:eastAsiaTheme="minorEastAsia" w:hAnsiTheme="minorHAnsi" w:cstheme="minorBidi"/>
          <w:noProof/>
          <w:sz w:val="22"/>
          <w:szCs w:val="22"/>
        </w:rPr>
      </w:pPr>
      <w:hyperlink w:anchor="_Toc376861326" w:history="1">
        <w:r w:rsidR="00E756EC" w:rsidRPr="008E14D6">
          <w:rPr>
            <w:rStyle w:val="Hyperlink"/>
            <w:rFonts w:ascii="Arial" w:hAnsi="Arial" w:cs="Arial"/>
            <w:noProof/>
          </w:rPr>
          <w:t>a.</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Territory Assignment</w:t>
        </w:r>
        <w:r w:rsidR="00E756EC">
          <w:rPr>
            <w:noProof/>
            <w:webHidden/>
          </w:rPr>
          <w:tab/>
        </w:r>
        <w:r w:rsidR="00E756EC">
          <w:rPr>
            <w:noProof/>
            <w:webHidden/>
          </w:rPr>
          <w:fldChar w:fldCharType="begin"/>
        </w:r>
        <w:r w:rsidR="00E756EC">
          <w:rPr>
            <w:noProof/>
            <w:webHidden/>
          </w:rPr>
          <w:instrText xml:space="preserve"> PAGEREF _Toc376861326 \h </w:instrText>
        </w:r>
        <w:r w:rsidR="00E756EC">
          <w:rPr>
            <w:noProof/>
            <w:webHidden/>
          </w:rPr>
        </w:r>
        <w:r w:rsidR="00E756EC">
          <w:rPr>
            <w:noProof/>
            <w:webHidden/>
          </w:rPr>
          <w:fldChar w:fldCharType="separate"/>
        </w:r>
        <w:r w:rsidR="00E756EC">
          <w:rPr>
            <w:noProof/>
            <w:webHidden/>
          </w:rPr>
          <w:t>8</w:t>
        </w:r>
        <w:r w:rsidR="00E756EC">
          <w:rPr>
            <w:noProof/>
            <w:webHidden/>
          </w:rPr>
          <w:fldChar w:fldCharType="end"/>
        </w:r>
      </w:hyperlink>
    </w:p>
    <w:p w14:paraId="738D8AE9" w14:textId="77777777" w:rsidR="00E756EC" w:rsidRDefault="00000000" w:rsidP="00E756EC">
      <w:pPr>
        <w:pStyle w:val="TOC2"/>
        <w:rPr>
          <w:rFonts w:asciiTheme="minorHAnsi" w:eastAsiaTheme="minorEastAsia" w:hAnsiTheme="minorHAnsi" w:cstheme="minorBidi"/>
          <w:noProof/>
          <w:sz w:val="22"/>
          <w:szCs w:val="22"/>
        </w:rPr>
      </w:pPr>
      <w:hyperlink w:anchor="_Toc376861327" w:history="1">
        <w:r w:rsidR="00E756EC" w:rsidRPr="008E14D6">
          <w:rPr>
            <w:rStyle w:val="Hyperlink"/>
            <w:rFonts w:ascii="Arial" w:hAnsi="Arial" w:cs="Arial"/>
            <w:noProof/>
          </w:rPr>
          <w:t>b.</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Quota Setting and Allocation</w:t>
        </w:r>
        <w:r w:rsidR="00E756EC">
          <w:rPr>
            <w:noProof/>
            <w:webHidden/>
          </w:rPr>
          <w:tab/>
        </w:r>
        <w:r w:rsidR="00E756EC">
          <w:rPr>
            <w:noProof/>
            <w:webHidden/>
          </w:rPr>
          <w:fldChar w:fldCharType="begin"/>
        </w:r>
        <w:r w:rsidR="00E756EC">
          <w:rPr>
            <w:noProof/>
            <w:webHidden/>
          </w:rPr>
          <w:instrText xml:space="preserve"> PAGEREF _Toc376861327 \h </w:instrText>
        </w:r>
        <w:r w:rsidR="00E756EC">
          <w:rPr>
            <w:noProof/>
            <w:webHidden/>
          </w:rPr>
        </w:r>
        <w:r w:rsidR="00E756EC">
          <w:rPr>
            <w:noProof/>
            <w:webHidden/>
          </w:rPr>
          <w:fldChar w:fldCharType="separate"/>
        </w:r>
        <w:r w:rsidR="00E756EC">
          <w:rPr>
            <w:noProof/>
            <w:webHidden/>
          </w:rPr>
          <w:t>8</w:t>
        </w:r>
        <w:r w:rsidR="00E756EC">
          <w:rPr>
            <w:noProof/>
            <w:webHidden/>
          </w:rPr>
          <w:fldChar w:fldCharType="end"/>
        </w:r>
      </w:hyperlink>
    </w:p>
    <w:p w14:paraId="1816F9D1" w14:textId="77777777" w:rsidR="00E756EC" w:rsidRDefault="00000000" w:rsidP="00E756EC">
      <w:pPr>
        <w:pStyle w:val="TOC2"/>
        <w:rPr>
          <w:rFonts w:asciiTheme="minorHAnsi" w:eastAsiaTheme="minorEastAsia" w:hAnsiTheme="minorHAnsi" w:cstheme="minorBidi"/>
          <w:noProof/>
          <w:sz w:val="22"/>
          <w:szCs w:val="22"/>
        </w:rPr>
      </w:pPr>
      <w:hyperlink w:anchor="_Toc376861328" w:history="1">
        <w:r w:rsidR="00E756EC" w:rsidRPr="008E14D6">
          <w:rPr>
            <w:rStyle w:val="Hyperlink"/>
            <w:rFonts w:ascii="Arial" w:hAnsi="Arial" w:cs="Arial"/>
            <w:noProof/>
          </w:rPr>
          <w:t>c.</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Territory and Quota Management</w:t>
        </w:r>
        <w:r w:rsidR="00E756EC">
          <w:rPr>
            <w:noProof/>
            <w:webHidden/>
          </w:rPr>
          <w:tab/>
        </w:r>
        <w:r w:rsidR="00E756EC">
          <w:rPr>
            <w:noProof/>
            <w:webHidden/>
          </w:rPr>
          <w:fldChar w:fldCharType="begin"/>
        </w:r>
        <w:r w:rsidR="00E756EC">
          <w:rPr>
            <w:noProof/>
            <w:webHidden/>
          </w:rPr>
          <w:instrText xml:space="preserve"> PAGEREF _Toc376861328 \h </w:instrText>
        </w:r>
        <w:r w:rsidR="00E756EC">
          <w:rPr>
            <w:noProof/>
            <w:webHidden/>
          </w:rPr>
        </w:r>
        <w:r w:rsidR="00E756EC">
          <w:rPr>
            <w:noProof/>
            <w:webHidden/>
          </w:rPr>
          <w:fldChar w:fldCharType="separate"/>
        </w:r>
        <w:r w:rsidR="00E756EC">
          <w:rPr>
            <w:noProof/>
            <w:webHidden/>
          </w:rPr>
          <w:t>8</w:t>
        </w:r>
        <w:r w:rsidR="00E756EC">
          <w:rPr>
            <w:noProof/>
            <w:webHidden/>
          </w:rPr>
          <w:fldChar w:fldCharType="end"/>
        </w:r>
      </w:hyperlink>
    </w:p>
    <w:p w14:paraId="447A936D" w14:textId="77777777" w:rsidR="00E756EC" w:rsidRDefault="00000000" w:rsidP="00E756EC">
      <w:pPr>
        <w:pStyle w:val="TOC1"/>
        <w:rPr>
          <w:rFonts w:asciiTheme="minorHAnsi" w:eastAsiaTheme="minorEastAsia" w:hAnsiTheme="minorHAnsi" w:cstheme="minorBidi"/>
          <w:noProof/>
          <w:sz w:val="22"/>
          <w:szCs w:val="22"/>
        </w:rPr>
      </w:pPr>
      <w:hyperlink w:anchor="_Toc376861329" w:history="1">
        <w:r w:rsidR="00E756EC" w:rsidRPr="008E14D6">
          <w:rPr>
            <w:rStyle w:val="Hyperlink"/>
            <w:rFonts w:ascii="Arial" w:hAnsi="Arial" w:cs="Arial"/>
            <w:noProof/>
          </w:rPr>
          <w:t>9.</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Plan Administration and Timing of Incentive Payments</w:t>
        </w:r>
        <w:r w:rsidR="00E756EC">
          <w:rPr>
            <w:noProof/>
            <w:webHidden/>
          </w:rPr>
          <w:tab/>
        </w:r>
        <w:r w:rsidR="00E756EC">
          <w:rPr>
            <w:noProof/>
            <w:webHidden/>
          </w:rPr>
          <w:fldChar w:fldCharType="begin"/>
        </w:r>
        <w:r w:rsidR="00E756EC">
          <w:rPr>
            <w:noProof/>
            <w:webHidden/>
          </w:rPr>
          <w:instrText xml:space="preserve"> PAGEREF _Toc376861329 \h </w:instrText>
        </w:r>
        <w:r w:rsidR="00E756EC">
          <w:rPr>
            <w:noProof/>
            <w:webHidden/>
          </w:rPr>
        </w:r>
        <w:r w:rsidR="00E756EC">
          <w:rPr>
            <w:noProof/>
            <w:webHidden/>
          </w:rPr>
          <w:fldChar w:fldCharType="separate"/>
        </w:r>
        <w:r w:rsidR="00E756EC">
          <w:rPr>
            <w:noProof/>
            <w:webHidden/>
          </w:rPr>
          <w:t>8</w:t>
        </w:r>
        <w:r w:rsidR="00E756EC">
          <w:rPr>
            <w:noProof/>
            <w:webHidden/>
          </w:rPr>
          <w:fldChar w:fldCharType="end"/>
        </w:r>
      </w:hyperlink>
    </w:p>
    <w:p w14:paraId="2D76A7E5" w14:textId="77777777" w:rsidR="00E756EC" w:rsidRDefault="00000000" w:rsidP="00E756EC">
      <w:pPr>
        <w:pStyle w:val="TOC1"/>
        <w:rPr>
          <w:rFonts w:asciiTheme="minorHAnsi" w:eastAsiaTheme="minorEastAsia" w:hAnsiTheme="minorHAnsi" w:cstheme="minorBidi"/>
          <w:noProof/>
          <w:sz w:val="22"/>
          <w:szCs w:val="22"/>
        </w:rPr>
      </w:pPr>
      <w:hyperlink w:anchor="_Toc376861330" w:history="1">
        <w:r w:rsidR="00E756EC" w:rsidRPr="008E14D6">
          <w:rPr>
            <w:rStyle w:val="Hyperlink"/>
            <w:rFonts w:ascii="Arial" w:hAnsi="Arial" w:cs="Arial"/>
            <w:noProof/>
          </w:rPr>
          <w:t>10.</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Incentive Payment Approvals</w:t>
        </w:r>
        <w:r w:rsidR="00E756EC">
          <w:rPr>
            <w:noProof/>
            <w:webHidden/>
          </w:rPr>
          <w:tab/>
        </w:r>
        <w:r w:rsidR="00E756EC">
          <w:rPr>
            <w:noProof/>
            <w:webHidden/>
          </w:rPr>
          <w:fldChar w:fldCharType="begin"/>
        </w:r>
        <w:r w:rsidR="00E756EC">
          <w:rPr>
            <w:noProof/>
            <w:webHidden/>
          </w:rPr>
          <w:instrText xml:space="preserve"> PAGEREF _Toc376861330 \h </w:instrText>
        </w:r>
        <w:r w:rsidR="00E756EC">
          <w:rPr>
            <w:noProof/>
            <w:webHidden/>
          </w:rPr>
        </w:r>
        <w:r w:rsidR="00E756EC">
          <w:rPr>
            <w:noProof/>
            <w:webHidden/>
          </w:rPr>
          <w:fldChar w:fldCharType="separate"/>
        </w:r>
        <w:r w:rsidR="00E756EC">
          <w:rPr>
            <w:noProof/>
            <w:webHidden/>
          </w:rPr>
          <w:t>8</w:t>
        </w:r>
        <w:r w:rsidR="00E756EC">
          <w:rPr>
            <w:noProof/>
            <w:webHidden/>
          </w:rPr>
          <w:fldChar w:fldCharType="end"/>
        </w:r>
      </w:hyperlink>
    </w:p>
    <w:p w14:paraId="3C13DA3A" w14:textId="77777777" w:rsidR="00E756EC" w:rsidRDefault="00000000" w:rsidP="00E756EC">
      <w:pPr>
        <w:pStyle w:val="TOC1"/>
        <w:rPr>
          <w:rFonts w:asciiTheme="minorHAnsi" w:eastAsiaTheme="minorEastAsia" w:hAnsiTheme="minorHAnsi" w:cstheme="minorBidi"/>
          <w:noProof/>
          <w:sz w:val="22"/>
          <w:szCs w:val="22"/>
        </w:rPr>
      </w:pPr>
      <w:hyperlink w:anchor="_Toc376861331" w:history="1">
        <w:r w:rsidR="00E756EC" w:rsidRPr="008E14D6">
          <w:rPr>
            <w:rStyle w:val="Hyperlink"/>
            <w:rFonts w:ascii="Arial" w:hAnsi="Arial" w:cs="Arial"/>
            <w:noProof/>
          </w:rPr>
          <w:t>11.</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Incentive Payment Errors and Corrections</w:t>
        </w:r>
        <w:r w:rsidR="00E756EC">
          <w:rPr>
            <w:noProof/>
            <w:webHidden/>
          </w:rPr>
          <w:tab/>
        </w:r>
        <w:r w:rsidR="00E756EC">
          <w:rPr>
            <w:noProof/>
            <w:webHidden/>
          </w:rPr>
          <w:fldChar w:fldCharType="begin"/>
        </w:r>
        <w:r w:rsidR="00E756EC">
          <w:rPr>
            <w:noProof/>
            <w:webHidden/>
          </w:rPr>
          <w:instrText xml:space="preserve"> PAGEREF _Toc376861331 \h </w:instrText>
        </w:r>
        <w:r w:rsidR="00E756EC">
          <w:rPr>
            <w:noProof/>
            <w:webHidden/>
          </w:rPr>
        </w:r>
        <w:r w:rsidR="00E756EC">
          <w:rPr>
            <w:noProof/>
            <w:webHidden/>
          </w:rPr>
          <w:fldChar w:fldCharType="separate"/>
        </w:r>
        <w:r w:rsidR="00E756EC">
          <w:rPr>
            <w:noProof/>
            <w:webHidden/>
          </w:rPr>
          <w:t>8</w:t>
        </w:r>
        <w:r w:rsidR="00E756EC">
          <w:rPr>
            <w:noProof/>
            <w:webHidden/>
          </w:rPr>
          <w:fldChar w:fldCharType="end"/>
        </w:r>
      </w:hyperlink>
    </w:p>
    <w:p w14:paraId="60A7BB56" w14:textId="77777777" w:rsidR="00E756EC" w:rsidRDefault="00000000" w:rsidP="00E756EC">
      <w:pPr>
        <w:pStyle w:val="TOC1"/>
        <w:rPr>
          <w:rFonts w:asciiTheme="minorHAnsi" w:eastAsiaTheme="minorEastAsia" w:hAnsiTheme="minorHAnsi" w:cstheme="minorBidi"/>
          <w:noProof/>
          <w:sz w:val="22"/>
          <w:szCs w:val="22"/>
        </w:rPr>
      </w:pPr>
      <w:hyperlink w:anchor="_Toc376861332" w:history="1">
        <w:r w:rsidR="00E756EC" w:rsidRPr="008E14D6">
          <w:rPr>
            <w:rStyle w:val="Hyperlink"/>
            <w:rFonts w:ascii="Arial" w:hAnsi="Arial" w:cs="Arial"/>
            <w:noProof/>
          </w:rPr>
          <w:t>12.</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Compensation Review Board (CRB)</w:t>
        </w:r>
        <w:r w:rsidR="00E756EC">
          <w:rPr>
            <w:noProof/>
            <w:webHidden/>
          </w:rPr>
          <w:tab/>
        </w:r>
        <w:r w:rsidR="00E756EC">
          <w:rPr>
            <w:noProof/>
            <w:webHidden/>
          </w:rPr>
          <w:fldChar w:fldCharType="begin"/>
        </w:r>
        <w:r w:rsidR="00E756EC">
          <w:rPr>
            <w:noProof/>
            <w:webHidden/>
          </w:rPr>
          <w:instrText xml:space="preserve"> PAGEREF _Toc376861332 \h </w:instrText>
        </w:r>
        <w:r w:rsidR="00E756EC">
          <w:rPr>
            <w:noProof/>
            <w:webHidden/>
          </w:rPr>
        </w:r>
        <w:r w:rsidR="00E756EC">
          <w:rPr>
            <w:noProof/>
            <w:webHidden/>
          </w:rPr>
          <w:fldChar w:fldCharType="separate"/>
        </w:r>
        <w:r w:rsidR="00E756EC">
          <w:rPr>
            <w:noProof/>
            <w:webHidden/>
          </w:rPr>
          <w:t>8</w:t>
        </w:r>
        <w:r w:rsidR="00E756EC">
          <w:rPr>
            <w:noProof/>
            <w:webHidden/>
          </w:rPr>
          <w:fldChar w:fldCharType="end"/>
        </w:r>
      </w:hyperlink>
    </w:p>
    <w:p w14:paraId="1DCAAB09" w14:textId="77777777" w:rsidR="00E756EC" w:rsidRDefault="00000000" w:rsidP="00E756EC">
      <w:pPr>
        <w:pStyle w:val="TOC1"/>
        <w:rPr>
          <w:rFonts w:asciiTheme="minorHAnsi" w:eastAsiaTheme="minorEastAsia" w:hAnsiTheme="minorHAnsi" w:cstheme="minorBidi"/>
          <w:noProof/>
          <w:sz w:val="22"/>
          <w:szCs w:val="22"/>
        </w:rPr>
      </w:pPr>
      <w:hyperlink w:anchor="_Toc376861333" w:history="1">
        <w:r w:rsidR="00E756EC" w:rsidRPr="008E14D6">
          <w:rPr>
            <w:rStyle w:val="Hyperlink"/>
            <w:rFonts w:ascii="Arial" w:hAnsi="Arial" w:cs="Arial"/>
            <w:noProof/>
          </w:rPr>
          <w:t>13.</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Special Sales Incentives</w:t>
        </w:r>
        <w:r w:rsidR="00E756EC">
          <w:rPr>
            <w:noProof/>
            <w:webHidden/>
          </w:rPr>
          <w:tab/>
        </w:r>
        <w:r w:rsidR="00E756EC">
          <w:rPr>
            <w:noProof/>
            <w:webHidden/>
          </w:rPr>
          <w:fldChar w:fldCharType="begin"/>
        </w:r>
        <w:r w:rsidR="00E756EC">
          <w:rPr>
            <w:noProof/>
            <w:webHidden/>
          </w:rPr>
          <w:instrText xml:space="preserve"> PAGEREF _Toc376861333 \h </w:instrText>
        </w:r>
        <w:r w:rsidR="00E756EC">
          <w:rPr>
            <w:noProof/>
            <w:webHidden/>
          </w:rPr>
        </w:r>
        <w:r w:rsidR="00E756EC">
          <w:rPr>
            <w:noProof/>
            <w:webHidden/>
          </w:rPr>
          <w:fldChar w:fldCharType="separate"/>
        </w:r>
        <w:r w:rsidR="00E756EC">
          <w:rPr>
            <w:noProof/>
            <w:webHidden/>
          </w:rPr>
          <w:t>9</w:t>
        </w:r>
        <w:r w:rsidR="00E756EC">
          <w:rPr>
            <w:noProof/>
            <w:webHidden/>
          </w:rPr>
          <w:fldChar w:fldCharType="end"/>
        </w:r>
      </w:hyperlink>
    </w:p>
    <w:p w14:paraId="0310351E" w14:textId="77777777" w:rsidR="00E756EC" w:rsidRDefault="00000000" w:rsidP="00E756EC">
      <w:pPr>
        <w:pStyle w:val="TOC1"/>
        <w:rPr>
          <w:rFonts w:asciiTheme="minorHAnsi" w:eastAsiaTheme="minorEastAsia" w:hAnsiTheme="minorHAnsi" w:cstheme="minorBidi"/>
          <w:noProof/>
          <w:sz w:val="22"/>
          <w:szCs w:val="22"/>
        </w:rPr>
      </w:pPr>
      <w:hyperlink w:anchor="_Toc376861334" w:history="1">
        <w:r w:rsidR="00E756EC" w:rsidRPr="008E14D6">
          <w:rPr>
            <w:rStyle w:val="Hyperlink"/>
            <w:rFonts w:ascii="Arial" w:hAnsi="Arial" w:cs="Arial"/>
            <w:noProof/>
          </w:rPr>
          <w:t>14.</w:t>
        </w:r>
        <w:r w:rsidR="00E756EC">
          <w:rPr>
            <w:rFonts w:asciiTheme="minorHAnsi" w:eastAsiaTheme="minorEastAsia" w:hAnsiTheme="minorHAnsi" w:cstheme="minorBidi"/>
            <w:noProof/>
            <w:sz w:val="22"/>
            <w:szCs w:val="22"/>
          </w:rPr>
          <w:tab/>
        </w:r>
        <w:r w:rsidR="00E756EC" w:rsidRPr="008E14D6">
          <w:rPr>
            <w:rStyle w:val="Hyperlink"/>
            <w:rFonts w:ascii="Arial" w:hAnsi="Arial" w:cs="Arial"/>
            <w:noProof/>
          </w:rPr>
          <w:t>Definition of Terms</w:t>
        </w:r>
        <w:r w:rsidR="00E756EC">
          <w:rPr>
            <w:noProof/>
            <w:webHidden/>
          </w:rPr>
          <w:tab/>
        </w:r>
        <w:r w:rsidR="00E756EC">
          <w:rPr>
            <w:noProof/>
            <w:webHidden/>
          </w:rPr>
          <w:fldChar w:fldCharType="begin"/>
        </w:r>
        <w:r w:rsidR="00E756EC">
          <w:rPr>
            <w:noProof/>
            <w:webHidden/>
          </w:rPr>
          <w:instrText xml:space="preserve"> PAGEREF _Toc376861334 \h </w:instrText>
        </w:r>
        <w:r w:rsidR="00E756EC">
          <w:rPr>
            <w:noProof/>
            <w:webHidden/>
          </w:rPr>
        </w:r>
        <w:r w:rsidR="00E756EC">
          <w:rPr>
            <w:noProof/>
            <w:webHidden/>
          </w:rPr>
          <w:fldChar w:fldCharType="separate"/>
        </w:r>
        <w:r w:rsidR="00E756EC">
          <w:rPr>
            <w:noProof/>
            <w:webHidden/>
          </w:rPr>
          <w:t>9</w:t>
        </w:r>
        <w:r w:rsidR="00E756EC">
          <w:rPr>
            <w:noProof/>
            <w:webHidden/>
          </w:rPr>
          <w:fldChar w:fldCharType="end"/>
        </w:r>
      </w:hyperlink>
    </w:p>
    <w:p w14:paraId="1FD25FE5" w14:textId="77777777" w:rsidR="00E756EC" w:rsidRPr="009B7526" w:rsidRDefault="00E756EC" w:rsidP="00E756EC">
      <w:pPr>
        <w:pStyle w:val="Header"/>
        <w:tabs>
          <w:tab w:val="clear" w:pos="4320"/>
          <w:tab w:val="clear" w:pos="8640"/>
        </w:tabs>
        <w:rPr>
          <w:rFonts w:ascii="Arial" w:hAnsi="Arial"/>
          <w:sz w:val="22"/>
        </w:rPr>
      </w:pPr>
      <w:r w:rsidRPr="009B7526">
        <w:rPr>
          <w:rFonts w:ascii="Arial" w:hAnsi="Arial"/>
          <w:sz w:val="22"/>
        </w:rPr>
        <w:fldChar w:fldCharType="end"/>
      </w:r>
    </w:p>
    <w:p w14:paraId="64B59D2C" w14:textId="77777777" w:rsidR="00E756EC" w:rsidRPr="00324164" w:rsidRDefault="00E756EC" w:rsidP="009628DC">
      <w:pPr>
        <w:pStyle w:val="Heading4"/>
        <w:numPr>
          <w:ilvl w:val="0"/>
          <w:numId w:val="45"/>
        </w:numPr>
        <w:ind w:left="360"/>
        <w:rPr>
          <w:color w:val="235043"/>
        </w:rPr>
      </w:pPr>
      <w:bookmarkStart w:id="0" w:name="_Toc4513251"/>
      <w:bookmarkStart w:id="1" w:name="_Toc4515895"/>
      <w:bookmarkStart w:id="2" w:name="_Toc4845637"/>
      <w:r w:rsidRPr="00324164">
        <w:rPr>
          <w:color w:val="235043"/>
          <w:sz w:val="22"/>
        </w:rPr>
        <w:br w:type="page"/>
      </w:r>
      <w:bookmarkStart w:id="3" w:name="_Toc376861302"/>
      <w:r w:rsidRPr="00324164">
        <w:rPr>
          <w:color w:val="235043"/>
        </w:rPr>
        <w:lastRenderedPageBreak/>
        <w:t>Overview</w:t>
      </w:r>
      <w:bookmarkEnd w:id="3"/>
    </w:p>
    <w:p w14:paraId="265B8EAE" w14:textId="18C86EE7" w:rsidR="00E756EC" w:rsidRPr="004E4286" w:rsidRDefault="00E756EC" w:rsidP="00E756EC">
      <w:pPr>
        <w:jc w:val="both"/>
        <w:rPr>
          <w:rFonts w:ascii="Arial" w:hAnsi="Arial" w:cs="Arial"/>
        </w:rPr>
      </w:pPr>
      <w:r w:rsidRPr="004E4286">
        <w:rPr>
          <w:rFonts w:ascii="Arial" w:hAnsi="Arial" w:cs="Arial"/>
        </w:rPr>
        <w:t>The purpose of</w:t>
      </w:r>
      <w:r>
        <w:rPr>
          <w:rFonts w:ascii="Arial" w:hAnsi="Arial" w:cs="Arial"/>
        </w:rPr>
        <w:t xml:space="preserve"> this</w:t>
      </w:r>
      <w:r w:rsidRPr="004E4286">
        <w:rPr>
          <w:rFonts w:ascii="Arial" w:hAnsi="Arial" w:cs="Arial"/>
        </w:rPr>
        <w:t xml:space="preserve"> document is to outline the terms and conditions of the </w:t>
      </w:r>
      <w:r w:rsidRPr="00A87B59">
        <w:rPr>
          <w:rFonts w:ascii="Arial" w:hAnsi="Arial" w:cs="Arial"/>
          <w:highlight w:val="yellow"/>
        </w:rPr>
        <w:t>Fiscal Year 20</w:t>
      </w:r>
      <w:r w:rsidR="00A87B59" w:rsidRPr="00A87B59">
        <w:rPr>
          <w:rFonts w:ascii="Arial" w:hAnsi="Arial" w:cs="Arial"/>
          <w:highlight w:val="yellow"/>
        </w:rPr>
        <w:t>XX</w:t>
      </w:r>
      <w:r w:rsidR="00A87B59">
        <w:rPr>
          <w:rFonts w:ascii="Arial" w:hAnsi="Arial" w:cs="Arial"/>
        </w:rPr>
        <w:t xml:space="preserve"> </w:t>
      </w:r>
      <w:r w:rsidRPr="004E4286">
        <w:rPr>
          <w:rFonts w:ascii="Arial" w:hAnsi="Arial" w:cs="Arial"/>
        </w:rPr>
        <w:t xml:space="preserve">Sales </w:t>
      </w:r>
      <w:r>
        <w:rPr>
          <w:rFonts w:ascii="Arial" w:hAnsi="Arial" w:cs="Arial"/>
        </w:rPr>
        <w:t>Incentive</w:t>
      </w:r>
      <w:r w:rsidRPr="004E4286">
        <w:rPr>
          <w:rFonts w:ascii="Arial" w:hAnsi="Arial" w:cs="Arial"/>
        </w:rPr>
        <w:t xml:space="preserve"> Plan (the “Plan”), which starts </w:t>
      </w:r>
      <w:r w:rsidRPr="00B616C6">
        <w:rPr>
          <w:rFonts w:ascii="Arial" w:hAnsi="Arial" w:cs="Arial"/>
          <w:highlight w:val="yellow"/>
        </w:rPr>
        <w:t>January 1, 2</w:t>
      </w:r>
      <w:r w:rsidR="0010080B" w:rsidRPr="0010080B">
        <w:rPr>
          <w:rFonts w:ascii="Arial" w:hAnsi="Arial" w:cs="Arial"/>
          <w:highlight w:val="yellow"/>
        </w:rPr>
        <w:t>0XX</w:t>
      </w:r>
      <w:r w:rsidRPr="004E4286">
        <w:rPr>
          <w:rFonts w:ascii="Arial" w:hAnsi="Arial" w:cs="Arial"/>
        </w:rPr>
        <w:t xml:space="preserve">.  The Plan is designed to reward </w:t>
      </w:r>
      <w:r w:rsidR="00B616C6" w:rsidRPr="00B616C6">
        <w:rPr>
          <w:rFonts w:ascii="Arial" w:hAnsi="Arial" w:cs="Arial"/>
        </w:rPr>
        <w:t>Company</w:t>
      </w:r>
      <w:r w:rsidRPr="004E4286">
        <w:rPr>
          <w:rFonts w:ascii="Arial" w:hAnsi="Arial" w:cs="Arial"/>
        </w:rPr>
        <w:t xml:space="preserve"> sales personnel to achieve superior sales performance</w:t>
      </w:r>
      <w:r w:rsidR="006239D1">
        <w:rPr>
          <w:rFonts w:ascii="Arial" w:hAnsi="Arial" w:cs="Arial"/>
        </w:rPr>
        <w:t>,</w:t>
      </w:r>
      <w:r w:rsidR="00A87B59">
        <w:rPr>
          <w:rFonts w:ascii="Arial" w:hAnsi="Arial" w:cs="Arial"/>
        </w:rPr>
        <w:t xml:space="preserve"> </w:t>
      </w:r>
      <w:r w:rsidRPr="004E4286">
        <w:rPr>
          <w:rFonts w:ascii="Arial" w:hAnsi="Arial" w:cs="Arial"/>
        </w:rPr>
        <w:t xml:space="preserve">while at the same time achieving the highest level of customer satisfaction in an ethical and responsible manner. </w:t>
      </w:r>
    </w:p>
    <w:p w14:paraId="217D800E" w14:textId="77777777" w:rsidR="00E756EC" w:rsidRPr="004E4286" w:rsidRDefault="00E756EC" w:rsidP="00E756EC">
      <w:pPr>
        <w:rPr>
          <w:rFonts w:ascii="Arial" w:hAnsi="Arial" w:cs="Arial"/>
        </w:rPr>
      </w:pPr>
    </w:p>
    <w:p w14:paraId="66A66091" w14:textId="77777777" w:rsidR="00E756EC" w:rsidRPr="00324164" w:rsidRDefault="00E756EC" w:rsidP="009628DC">
      <w:pPr>
        <w:pStyle w:val="Heading4"/>
        <w:numPr>
          <w:ilvl w:val="0"/>
          <w:numId w:val="45"/>
        </w:numPr>
        <w:ind w:left="360"/>
        <w:rPr>
          <w:color w:val="235043"/>
        </w:rPr>
      </w:pPr>
      <w:bookmarkStart w:id="4" w:name="_Toc376861303"/>
      <w:r w:rsidRPr="00324164">
        <w:rPr>
          <w:color w:val="235043"/>
        </w:rPr>
        <w:t>Eligibility</w:t>
      </w:r>
      <w:bookmarkEnd w:id="4"/>
    </w:p>
    <w:p w14:paraId="17D37F75" w14:textId="4FB71605" w:rsidR="00E756EC" w:rsidRPr="004E4286" w:rsidRDefault="00E756EC" w:rsidP="00E756EC">
      <w:pPr>
        <w:jc w:val="both"/>
        <w:rPr>
          <w:rFonts w:ascii="Arial" w:hAnsi="Arial" w:cs="Arial"/>
        </w:rPr>
      </w:pPr>
      <w:r w:rsidRPr="004E4286">
        <w:rPr>
          <w:rFonts w:ascii="Arial" w:hAnsi="Arial" w:cs="Arial"/>
        </w:rPr>
        <w:t>This plan provides sales compensation for all Company sales positions or “Participants” worldwide.  The terms “</w:t>
      </w:r>
      <w:r w:rsidR="006239D1">
        <w:rPr>
          <w:rFonts w:ascii="Arial" w:hAnsi="Arial" w:cs="Arial"/>
        </w:rPr>
        <w:t>s</w:t>
      </w:r>
      <w:r w:rsidRPr="004E4286">
        <w:rPr>
          <w:rFonts w:ascii="Arial" w:hAnsi="Arial" w:cs="Arial"/>
        </w:rPr>
        <w:t>ales positions” includes</w:t>
      </w:r>
      <w:r>
        <w:rPr>
          <w:rFonts w:ascii="Arial" w:hAnsi="Arial" w:cs="Arial"/>
        </w:rPr>
        <w:t xml:space="preserve">, but </w:t>
      </w:r>
      <w:r w:rsidR="006239D1">
        <w:rPr>
          <w:rFonts w:ascii="Arial" w:hAnsi="Arial" w:cs="Arial"/>
        </w:rPr>
        <w:t xml:space="preserve">is </w:t>
      </w:r>
      <w:r>
        <w:rPr>
          <w:rFonts w:ascii="Arial" w:hAnsi="Arial" w:cs="Arial"/>
        </w:rPr>
        <w:t>not limited to</w:t>
      </w:r>
      <w:r w:rsidRPr="004E4286">
        <w:rPr>
          <w:rFonts w:ascii="Arial" w:hAnsi="Arial" w:cs="Arial"/>
        </w:rPr>
        <w:t>:</w:t>
      </w:r>
    </w:p>
    <w:p w14:paraId="27CD6ABF" w14:textId="77777777" w:rsidR="00E756EC" w:rsidRPr="004E4286" w:rsidRDefault="00E756EC" w:rsidP="00E756EC">
      <w:pPr>
        <w:numPr>
          <w:ilvl w:val="0"/>
          <w:numId w:val="23"/>
        </w:numPr>
        <w:jc w:val="both"/>
        <w:rPr>
          <w:rFonts w:ascii="Arial" w:hAnsi="Arial" w:cs="Arial"/>
        </w:rPr>
      </w:pPr>
      <w:r>
        <w:rPr>
          <w:rFonts w:ascii="Arial" w:hAnsi="Arial" w:cs="Arial"/>
        </w:rPr>
        <w:t xml:space="preserve">(Senior) </w:t>
      </w:r>
      <w:r w:rsidRPr="004E4286">
        <w:rPr>
          <w:rFonts w:ascii="Arial" w:hAnsi="Arial" w:cs="Arial"/>
        </w:rPr>
        <w:t>Account Executive</w:t>
      </w:r>
    </w:p>
    <w:p w14:paraId="0E84E08E" w14:textId="77777777" w:rsidR="00E756EC" w:rsidRPr="004E4286" w:rsidRDefault="00E756EC" w:rsidP="00E756EC">
      <w:pPr>
        <w:numPr>
          <w:ilvl w:val="0"/>
          <w:numId w:val="23"/>
        </w:numPr>
        <w:jc w:val="both"/>
        <w:rPr>
          <w:rFonts w:ascii="Arial" w:hAnsi="Arial" w:cs="Arial"/>
        </w:rPr>
      </w:pPr>
      <w:r>
        <w:rPr>
          <w:rFonts w:ascii="Arial" w:hAnsi="Arial" w:cs="Arial"/>
        </w:rPr>
        <w:t xml:space="preserve">(Senior) </w:t>
      </w:r>
      <w:r w:rsidRPr="004E4286">
        <w:rPr>
          <w:rFonts w:ascii="Arial" w:hAnsi="Arial" w:cs="Arial"/>
        </w:rPr>
        <w:t>Sales Manager</w:t>
      </w:r>
    </w:p>
    <w:p w14:paraId="1AA75FC9" w14:textId="77777777" w:rsidR="00E756EC" w:rsidRPr="004E4286" w:rsidRDefault="00E756EC" w:rsidP="00E756EC">
      <w:pPr>
        <w:numPr>
          <w:ilvl w:val="0"/>
          <w:numId w:val="23"/>
        </w:numPr>
        <w:jc w:val="both"/>
        <w:rPr>
          <w:rFonts w:ascii="Arial" w:hAnsi="Arial" w:cs="Arial"/>
        </w:rPr>
      </w:pPr>
      <w:r>
        <w:rPr>
          <w:rFonts w:ascii="Arial" w:hAnsi="Arial" w:cs="Arial"/>
        </w:rPr>
        <w:t xml:space="preserve">(Senior) </w:t>
      </w:r>
      <w:r w:rsidRPr="004E4286">
        <w:rPr>
          <w:rFonts w:ascii="Arial" w:hAnsi="Arial" w:cs="Arial"/>
        </w:rPr>
        <w:t>Sales Director</w:t>
      </w:r>
    </w:p>
    <w:p w14:paraId="22125E57" w14:textId="77777777" w:rsidR="00E756EC" w:rsidRDefault="00E756EC" w:rsidP="00E756EC">
      <w:pPr>
        <w:numPr>
          <w:ilvl w:val="0"/>
          <w:numId w:val="23"/>
        </w:numPr>
        <w:jc w:val="both"/>
        <w:rPr>
          <w:rFonts w:ascii="Arial" w:hAnsi="Arial" w:cs="Arial"/>
        </w:rPr>
      </w:pPr>
      <w:r w:rsidRPr="004E4286">
        <w:rPr>
          <w:rFonts w:ascii="Arial" w:hAnsi="Arial" w:cs="Arial"/>
        </w:rPr>
        <w:t>VP of Sales</w:t>
      </w:r>
    </w:p>
    <w:p w14:paraId="35B9EB8D" w14:textId="36D2FFF6" w:rsidR="00E756EC" w:rsidRDefault="00E756EC" w:rsidP="00E756EC">
      <w:pPr>
        <w:jc w:val="both"/>
        <w:rPr>
          <w:rFonts w:ascii="Arial" w:hAnsi="Arial" w:cs="Arial"/>
        </w:rPr>
      </w:pPr>
      <w:r w:rsidRPr="004E4286">
        <w:rPr>
          <w:rFonts w:ascii="Arial" w:hAnsi="Arial" w:cs="Arial"/>
        </w:rPr>
        <w:t>To be eligible for</w:t>
      </w:r>
      <w:r w:rsidR="006239D1">
        <w:rPr>
          <w:rFonts w:ascii="Arial" w:hAnsi="Arial" w:cs="Arial"/>
        </w:rPr>
        <w:t xml:space="preserve"> the</w:t>
      </w:r>
      <w:r w:rsidRPr="004E4286">
        <w:rPr>
          <w:rFonts w:ascii="Arial" w:hAnsi="Arial" w:cs="Arial"/>
        </w:rPr>
        <w:t xml:space="preserve"> sales </w:t>
      </w:r>
      <w:r>
        <w:rPr>
          <w:rFonts w:ascii="Arial" w:hAnsi="Arial" w:cs="Arial"/>
        </w:rPr>
        <w:t>incentive</w:t>
      </w:r>
      <w:r w:rsidRPr="004E4286">
        <w:rPr>
          <w:rFonts w:ascii="Arial" w:hAnsi="Arial" w:cs="Arial"/>
        </w:rPr>
        <w:t xml:space="preserve"> plan, a sales </w:t>
      </w:r>
      <w:r w:rsidR="006239D1">
        <w:rPr>
          <w:rFonts w:ascii="Arial" w:hAnsi="Arial" w:cs="Arial"/>
        </w:rPr>
        <w:t>position</w:t>
      </w:r>
      <w:r w:rsidRPr="004E4286">
        <w:rPr>
          <w:rFonts w:ascii="Arial" w:hAnsi="Arial" w:cs="Arial"/>
        </w:rPr>
        <w:t xml:space="preserve"> must </w:t>
      </w:r>
      <w:r>
        <w:rPr>
          <w:rFonts w:ascii="Arial" w:hAnsi="Arial" w:cs="Arial"/>
        </w:rPr>
        <w:t xml:space="preserve">1) have </w:t>
      </w:r>
      <w:r w:rsidRPr="004E4286">
        <w:rPr>
          <w:rFonts w:ascii="Arial" w:hAnsi="Arial" w:cs="Arial"/>
        </w:rPr>
        <w:t xml:space="preserve">customer contact and 2) </w:t>
      </w:r>
      <w:r>
        <w:rPr>
          <w:rFonts w:ascii="Arial" w:hAnsi="Arial" w:cs="Arial"/>
        </w:rPr>
        <w:t>persuade</w:t>
      </w:r>
      <w:r w:rsidRPr="004E4286">
        <w:rPr>
          <w:rFonts w:ascii="Arial" w:hAnsi="Arial" w:cs="Arial"/>
        </w:rPr>
        <w:t xml:space="preserve"> the customer to buy </w:t>
      </w:r>
      <w:r w:rsidR="00B616C6" w:rsidRPr="00B616C6">
        <w:rPr>
          <w:rFonts w:ascii="Arial" w:hAnsi="Arial" w:cs="Arial"/>
        </w:rPr>
        <w:t>Company</w:t>
      </w:r>
      <w:r w:rsidR="00B616C6">
        <w:rPr>
          <w:rFonts w:ascii="Arial" w:hAnsi="Arial" w:cs="Arial"/>
        </w:rPr>
        <w:t xml:space="preserve"> </w:t>
      </w:r>
      <w:r w:rsidRPr="004E4286">
        <w:rPr>
          <w:rFonts w:ascii="Arial" w:hAnsi="Arial" w:cs="Arial"/>
        </w:rPr>
        <w:t xml:space="preserve">products or services.  </w:t>
      </w:r>
    </w:p>
    <w:p w14:paraId="388E3FB0" w14:textId="77777777" w:rsidR="00E756EC" w:rsidRDefault="00E756EC" w:rsidP="00E756EC">
      <w:pPr>
        <w:jc w:val="both"/>
        <w:rPr>
          <w:rFonts w:ascii="Arial" w:hAnsi="Arial" w:cs="Arial"/>
        </w:rPr>
      </w:pPr>
    </w:p>
    <w:p w14:paraId="442E1702" w14:textId="77777777" w:rsidR="00E756EC" w:rsidRPr="00324164" w:rsidRDefault="00E756EC" w:rsidP="009628DC">
      <w:pPr>
        <w:pStyle w:val="Heading4"/>
        <w:numPr>
          <w:ilvl w:val="0"/>
          <w:numId w:val="45"/>
        </w:numPr>
        <w:ind w:left="360"/>
        <w:rPr>
          <w:color w:val="235043"/>
        </w:rPr>
      </w:pPr>
      <w:bookmarkStart w:id="5" w:name="_Toc376861304"/>
      <w:r w:rsidRPr="00324164">
        <w:rPr>
          <w:color w:val="235043"/>
        </w:rPr>
        <w:t>Participation</w:t>
      </w:r>
      <w:bookmarkEnd w:id="5"/>
    </w:p>
    <w:p w14:paraId="373579EC" w14:textId="77777777" w:rsidR="00E756EC" w:rsidRPr="006321C4" w:rsidRDefault="00E756EC" w:rsidP="00E756EC">
      <w:pPr>
        <w:jc w:val="both"/>
        <w:rPr>
          <w:rFonts w:ascii="Arial" w:hAnsi="Arial" w:cs="Arial"/>
        </w:rPr>
      </w:pPr>
      <w:r w:rsidRPr="006321C4">
        <w:rPr>
          <w:rFonts w:ascii="Arial" w:hAnsi="Arial" w:cs="Arial"/>
        </w:rPr>
        <w:t>To participate in this Plan, an employee must be in a full or part-time position for at least a full calendar month during the time frame covered by this Plan (“Participant”).  When a Participant is in his or her position for less than the full measurement period, the Variable Income will be pro-rated.  No Participant may participate in more than one Sales or bonus compensation plan at a time.</w:t>
      </w:r>
    </w:p>
    <w:p w14:paraId="1993368B" w14:textId="77777777" w:rsidR="00E756EC" w:rsidRPr="004E4286" w:rsidRDefault="00E756EC" w:rsidP="00E756EC">
      <w:pPr>
        <w:rPr>
          <w:rFonts w:ascii="Arial" w:hAnsi="Arial" w:cs="Arial"/>
        </w:rPr>
      </w:pPr>
    </w:p>
    <w:p w14:paraId="3FA023E0" w14:textId="77777777" w:rsidR="00E756EC" w:rsidRPr="00324164" w:rsidRDefault="00E756EC" w:rsidP="009628DC">
      <w:pPr>
        <w:pStyle w:val="Heading4"/>
        <w:numPr>
          <w:ilvl w:val="0"/>
          <w:numId w:val="45"/>
        </w:numPr>
        <w:ind w:left="360"/>
        <w:rPr>
          <w:color w:val="235043"/>
        </w:rPr>
      </w:pPr>
      <w:bookmarkStart w:id="6" w:name="_Toc62556453"/>
      <w:bookmarkStart w:id="7" w:name="_Toc376861305"/>
      <w:r w:rsidRPr="00324164">
        <w:rPr>
          <w:color w:val="235043"/>
        </w:rPr>
        <w:t>Plan Acknowledgement Form</w:t>
      </w:r>
      <w:bookmarkEnd w:id="6"/>
      <w:r w:rsidRPr="00324164">
        <w:rPr>
          <w:color w:val="235043"/>
        </w:rPr>
        <w:t xml:space="preserve"> (PAF)</w:t>
      </w:r>
      <w:bookmarkEnd w:id="7"/>
    </w:p>
    <w:p w14:paraId="7D8D16BF" w14:textId="77777777" w:rsidR="00E756EC" w:rsidRPr="004E4286" w:rsidRDefault="00E756EC" w:rsidP="00E756EC">
      <w:pPr>
        <w:rPr>
          <w:rFonts w:ascii="Arial" w:hAnsi="Arial" w:cs="Arial"/>
        </w:rPr>
      </w:pPr>
      <w:r w:rsidRPr="004E4286">
        <w:rPr>
          <w:rFonts w:ascii="Arial" w:hAnsi="Arial" w:cs="Arial"/>
        </w:rPr>
        <w:t>Each Participant is required to sign and return their plan acknowledgement form at the beginning of the plan year or when they become eligible for the sales compensation plan.  Incentive payments will not be made until the PAF form has been returned.</w:t>
      </w:r>
    </w:p>
    <w:p w14:paraId="28AE9D71" w14:textId="77777777" w:rsidR="00E756EC" w:rsidRPr="004E4286" w:rsidRDefault="00E756EC" w:rsidP="00E756EC">
      <w:pPr>
        <w:jc w:val="both"/>
        <w:rPr>
          <w:rFonts w:ascii="Arial" w:hAnsi="Arial" w:cs="Arial"/>
        </w:rPr>
      </w:pPr>
    </w:p>
    <w:p w14:paraId="4DDABBDC" w14:textId="33CA61FC" w:rsidR="00E756EC" w:rsidRPr="0026314A" w:rsidRDefault="00E756EC" w:rsidP="00DE2299">
      <w:pPr>
        <w:pStyle w:val="Heading4"/>
        <w:numPr>
          <w:ilvl w:val="0"/>
          <w:numId w:val="45"/>
        </w:numPr>
        <w:ind w:left="360"/>
        <w:rPr>
          <w:color w:val="235043"/>
        </w:rPr>
      </w:pPr>
      <w:bookmarkStart w:id="8" w:name="_Toc376861306"/>
      <w:r w:rsidRPr="0026314A">
        <w:rPr>
          <w:color w:val="235043"/>
        </w:rPr>
        <w:t xml:space="preserve">Terms and </w:t>
      </w:r>
      <w:r w:rsidR="0026314A" w:rsidRPr="0026314A">
        <w:rPr>
          <w:color w:val="235043"/>
        </w:rPr>
        <w:t>c</w:t>
      </w:r>
      <w:r w:rsidRPr="0026314A">
        <w:rPr>
          <w:color w:val="235043"/>
        </w:rPr>
        <w:t>onditions</w:t>
      </w:r>
      <w:bookmarkEnd w:id="8"/>
    </w:p>
    <w:p w14:paraId="5B65CF85" w14:textId="225FDFEC" w:rsidR="00E756EC" w:rsidRPr="00324164" w:rsidRDefault="00E756EC" w:rsidP="00324164">
      <w:pPr>
        <w:pStyle w:val="Heading2"/>
      </w:pPr>
      <w:bookmarkStart w:id="9" w:name="_Toc62554216"/>
      <w:bookmarkStart w:id="10" w:name="_Toc62556456"/>
      <w:bookmarkStart w:id="11" w:name="_Toc62554217"/>
      <w:bookmarkStart w:id="12" w:name="_Toc62556457"/>
      <w:bookmarkStart w:id="13" w:name="_Toc62554218"/>
      <w:bookmarkStart w:id="14" w:name="_Toc62556458"/>
      <w:bookmarkStart w:id="15" w:name="_Toc62554219"/>
      <w:bookmarkStart w:id="16" w:name="_Toc62556459"/>
      <w:bookmarkStart w:id="17" w:name="_Toc376861307"/>
      <w:bookmarkEnd w:id="0"/>
      <w:bookmarkEnd w:id="1"/>
      <w:bookmarkEnd w:id="2"/>
      <w:bookmarkEnd w:id="9"/>
      <w:bookmarkEnd w:id="10"/>
      <w:bookmarkEnd w:id="11"/>
      <w:bookmarkEnd w:id="12"/>
      <w:bookmarkEnd w:id="13"/>
      <w:bookmarkEnd w:id="14"/>
      <w:bookmarkEnd w:id="15"/>
      <w:bookmarkEnd w:id="16"/>
      <w:r w:rsidRPr="00324164">
        <w:t xml:space="preserve">Plan </w:t>
      </w:r>
      <w:r w:rsidR="0026314A">
        <w:t>e</w:t>
      </w:r>
      <w:r w:rsidRPr="00324164">
        <w:t xml:space="preserve">ffective </w:t>
      </w:r>
      <w:r w:rsidR="0026314A">
        <w:t>d</w:t>
      </w:r>
      <w:r w:rsidRPr="00324164">
        <w:t>ate</w:t>
      </w:r>
      <w:bookmarkEnd w:id="17"/>
    </w:p>
    <w:p w14:paraId="6BD71108" w14:textId="081E9361" w:rsidR="00E756EC" w:rsidRPr="004E4286" w:rsidRDefault="00E756EC" w:rsidP="00E756EC">
      <w:pPr>
        <w:ind w:left="360"/>
        <w:jc w:val="both"/>
        <w:rPr>
          <w:rFonts w:ascii="Arial" w:hAnsi="Arial" w:cs="Arial"/>
        </w:rPr>
      </w:pPr>
      <w:r w:rsidRPr="008A5977">
        <w:rPr>
          <w:rFonts w:ascii="Arial" w:hAnsi="Arial" w:cs="Arial"/>
        </w:rPr>
        <w:t xml:space="preserve">The Plan is effective as of </w:t>
      </w:r>
      <w:r w:rsidRPr="00B616C6">
        <w:rPr>
          <w:rFonts w:ascii="Arial" w:hAnsi="Arial" w:cs="Arial"/>
          <w:highlight w:val="yellow"/>
        </w:rPr>
        <w:t>January 1, 20</w:t>
      </w:r>
      <w:r w:rsidR="00B616C6" w:rsidRPr="00B616C6">
        <w:rPr>
          <w:rFonts w:ascii="Arial" w:hAnsi="Arial" w:cs="Arial"/>
          <w:highlight w:val="yellow"/>
        </w:rPr>
        <w:t>XX</w:t>
      </w:r>
      <w:r w:rsidRPr="008A5977">
        <w:rPr>
          <w:rFonts w:ascii="Arial" w:hAnsi="Arial" w:cs="Arial"/>
        </w:rPr>
        <w:t>. It supersedes any and all other agreements, representations or understandings, either written or oral, with respect to incentive compensation, bonuses or commissions for any of the Participants.</w:t>
      </w:r>
    </w:p>
    <w:p w14:paraId="34B55971" w14:textId="77777777" w:rsidR="00E756EC" w:rsidRPr="004E4286" w:rsidRDefault="00E756EC" w:rsidP="00E756EC">
      <w:pPr>
        <w:ind w:left="360"/>
        <w:jc w:val="both"/>
        <w:rPr>
          <w:rFonts w:ascii="Arial" w:hAnsi="Arial" w:cs="Arial"/>
        </w:rPr>
      </w:pPr>
    </w:p>
    <w:p w14:paraId="2C350F5B" w14:textId="4498462D" w:rsidR="00E756EC" w:rsidRPr="004E4286" w:rsidRDefault="00E756EC" w:rsidP="00324164">
      <w:pPr>
        <w:pStyle w:val="Heading2"/>
      </w:pPr>
      <w:bookmarkStart w:id="18" w:name="_Toc376861308"/>
      <w:r w:rsidRPr="004E4286">
        <w:t xml:space="preserve">Plan </w:t>
      </w:r>
      <w:r w:rsidR="0026314A">
        <w:t>c</w:t>
      </w:r>
      <w:r w:rsidRPr="004E4286">
        <w:t>onfidentiality</w:t>
      </w:r>
      <w:bookmarkEnd w:id="18"/>
    </w:p>
    <w:p w14:paraId="0A9ADE98" w14:textId="77777777" w:rsidR="00E756EC" w:rsidRPr="004E4286" w:rsidRDefault="00E756EC" w:rsidP="00E756EC">
      <w:pPr>
        <w:ind w:left="360"/>
        <w:jc w:val="both"/>
        <w:rPr>
          <w:rFonts w:ascii="Arial" w:hAnsi="Arial" w:cs="Arial"/>
        </w:rPr>
      </w:pPr>
      <w:r w:rsidRPr="008A5977">
        <w:rPr>
          <w:rFonts w:ascii="Arial" w:hAnsi="Arial" w:cs="Arial"/>
        </w:rPr>
        <w:t>The Plan constitutes highly confidential and proprietary Company information. Disclosure of any of the contents of this Plan to any third party without the Company’s prior written consent is expressly prohibited, except where allowed by law. Violation of this confidentiality obligation will subject a Participant to disciplinary action up to and including termination, unless prohibited by law.</w:t>
      </w:r>
    </w:p>
    <w:p w14:paraId="725A1A19" w14:textId="77777777" w:rsidR="00E756EC" w:rsidRPr="004E4286" w:rsidRDefault="00E756EC" w:rsidP="00E756EC">
      <w:pPr>
        <w:ind w:left="360"/>
        <w:jc w:val="both"/>
        <w:rPr>
          <w:rFonts w:ascii="Arial" w:hAnsi="Arial" w:cs="Arial"/>
        </w:rPr>
      </w:pPr>
    </w:p>
    <w:p w14:paraId="05A829B8" w14:textId="67B8B2D9" w:rsidR="00E756EC" w:rsidRPr="004E4286" w:rsidRDefault="00E756EC" w:rsidP="00324164">
      <w:pPr>
        <w:pStyle w:val="Heading2"/>
      </w:pPr>
      <w:bookmarkStart w:id="19" w:name="_Toc376861309"/>
      <w:r w:rsidRPr="004E4286">
        <w:t xml:space="preserve">No </w:t>
      </w:r>
      <w:r w:rsidR="0026314A">
        <w:t>e</w:t>
      </w:r>
      <w:r w:rsidRPr="004E4286">
        <w:t xml:space="preserve">mployment </w:t>
      </w:r>
      <w:r w:rsidR="0026314A">
        <w:t>a</w:t>
      </w:r>
      <w:r w:rsidRPr="004E4286">
        <w:t>greement</w:t>
      </w:r>
      <w:bookmarkEnd w:id="19"/>
    </w:p>
    <w:p w14:paraId="1F553C41" w14:textId="0F69525C" w:rsidR="00E756EC" w:rsidRPr="004E4286" w:rsidRDefault="00E756EC" w:rsidP="00E756EC">
      <w:pPr>
        <w:ind w:left="360"/>
        <w:jc w:val="both"/>
        <w:rPr>
          <w:rFonts w:ascii="Arial" w:hAnsi="Arial" w:cs="Arial"/>
        </w:rPr>
      </w:pPr>
      <w:r w:rsidRPr="008A5977">
        <w:rPr>
          <w:rFonts w:ascii="Arial" w:hAnsi="Arial" w:cs="Arial"/>
        </w:rPr>
        <w:t xml:space="preserve">The Plan does not constitute a contract or guarantee of </w:t>
      </w:r>
      <w:r w:rsidR="00B616C6" w:rsidRPr="008A5977">
        <w:rPr>
          <w:rFonts w:ascii="Arial" w:hAnsi="Arial" w:cs="Arial"/>
        </w:rPr>
        <w:t>employment and</w:t>
      </w:r>
      <w:r w:rsidRPr="008A5977">
        <w:rPr>
          <w:rFonts w:ascii="Arial" w:hAnsi="Arial" w:cs="Arial"/>
        </w:rPr>
        <w:t xml:space="preserve"> does not in any way alter a Participant’s status as an at-will employee. In the at-will employment arrangement, the Company may change the terms and conditions of employment, and any Plan Participant and/or the Company has the right to terminate employment at any time, with or without cause and with or without prior notice.</w:t>
      </w:r>
    </w:p>
    <w:p w14:paraId="23F55D3C" w14:textId="77777777" w:rsidR="00E756EC" w:rsidRPr="004E4286" w:rsidRDefault="00E756EC" w:rsidP="00E756EC">
      <w:pPr>
        <w:ind w:left="360"/>
        <w:jc w:val="both"/>
        <w:rPr>
          <w:rFonts w:ascii="Arial" w:hAnsi="Arial" w:cs="Arial"/>
        </w:rPr>
      </w:pPr>
    </w:p>
    <w:p w14:paraId="1706958D" w14:textId="60D93130" w:rsidR="00E756EC" w:rsidRPr="004E4286" w:rsidRDefault="00E756EC" w:rsidP="00324164">
      <w:pPr>
        <w:pStyle w:val="Heading2"/>
      </w:pPr>
      <w:bookmarkStart w:id="20" w:name="_Toc376861310"/>
      <w:r w:rsidRPr="004E4286">
        <w:t xml:space="preserve">Competitive </w:t>
      </w:r>
      <w:r w:rsidR="0026314A">
        <w:t>b</w:t>
      </w:r>
      <w:r w:rsidRPr="004E4286">
        <w:t xml:space="preserve">usiness </w:t>
      </w:r>
      <w:r w:rsidR="0026314A">
        <w:t>a</w:t>
      </w:r>
      <w:r w:rsidRPr="004E4286">
        <w:t>greement</w:t>
      </w:r>
      <w:bookmarkEnd w:id="20"/>
    </w:p>
    <w:p w14:paraId="72A3F206" w14:textId="77777777" w:rsidR="00E756EC" w:rsidRPr="004E4286" w:rsidRDefault="00E756EC" w:rsidP="00E756EC">
      <w:pPr>
        <w:ind w:left="360"/>
        <w:jc w:val="both"/>
        <w:rPr>
          <w:rFonts w:ascii="Arial" w:hAnsi="Arial" w:cs="Arial"/>
        </w:rPr>
      </w:pPr>
      <w:r w:rsidRPr="004E4286">
        <w:rPr>
          <w:rFonts w:ascii="Arial" w:hAnsi="Arial" w:cs="Arial"/>
        </w:rPr>
        <w:t>By signing this Plan, the Participant agrees that during participation in the Plan, and employment with the Company, he or she will not, directly or indirectly:</w:t>
      </w:r>
    </w:p>
    <w:p w14:paraId="1688CC0A" w14:textId="7A5F951B" w:rsidR="00E756EC" w:rsidRPr="004E4286" w:rsidRDefault="00E756EC" w:rsidP="00E756EC">
      <w:pPr>
        <w:ind w:left="720" w:hanging="360"/>
        <w:jc w:val="both"/>
        <w:rPr>
          <w:rFonts w:ascii="Arial" w:hAnsi="Arial" w:cs="Arial"/>
        </w:rPr>
      </w:pPr>
      <w:r w:rsidRPr="004E4286">
        <w:rPr>
          <w:rFonts w:ascii="Arial" w:hAnsi="Arial" w:cs="Arial"/>
        </w:rPr>
        <w:t>•</w:t>
      </w:r>
      <w:r w:rsidRPr="004E4286">
        <w:rPr>
          <w:rFonts w:ascii="Arial" w:hAnsi="Arial" w:cs="Arial"/>
        </w:rPr>
        <w:tab/>
        <w:t xml:space="preserve">Engage in any other employment or consulting without advance written approval of </w:t>
      </w:r>
      <w:r w:rsidR="00A82135">
        <w:rPr>
          <w:rFonts w:ascii="Arial" w:hAnsi="Arial" w:cs="Arial"/>
        </w:rPr>
        <w:t xml:space="preserve">the </w:t>
      </w:r>
      <w:r w:rsidR="00A87B59">
        <w:rPr>
          <w:rFonts w:ascii="Arial" w:hAnsi="Arial" w:cs="Arial"/>
          <w:highlight w:val="yellow"/>
        </w:rPr>
        <w:t>&lt;Head of Sales&gt;</w:t>
      </w:r>
      <w:r w:rsidR="00A87B59">
        <w:rPr>
          <w:rFonts w:ascii="Arial" w:hAnsi="Arial" w:cs="Arial"/>
        </w:rPr>
        <w:t xml:space="preserve"> </w:t>
      </w:r>
      <w:r w:rsidRPr="004E4286">
        <w:rPr>
          <w:rFonts w:ascii="Arial" w:hAnsi="Arial" w:cs="Arial"/>
        </w:rPr>
        <w:t>for the specific other employment or consulting, unless allowed by law; or</w:t>
      </w:r>
    </w:p>
    <w:p w14:paraId="190858DA" w14:textId="77777777" w:rsidR="00E756EC" w:rsidRPr="004E4286" w:rsidRDefault="00E756EC" w:rsidP="00E756EC">
      <w:pPr>
        <w:ind w:left="720" w:hanging="360"/>
        <w:jc w:val="both"/>
        <w:rPr>
          <w:rFonts w:ascii="Arial" w:hAnsi="Arial" w:cs="Arial"/>
        </w:rPr>
      </w:pPr>
      <w:r w:rsidRPr="004E4286">
        <w:rPr>
          <w:rFonts w:ascii="Arial" w:hAnsi="Arial" w:cs="Arial"/>
        </w:rPr>
        <w:lastRenderedPageBreak/>
        <w:t>•</w:t>
      </w:r>
      <w:r w:rsidRPr="004E4286">
        <w:rPr>
          <w:rFonts w:ascii="Arial" w:hAnsi="Arial" w:cs="Arial"/>
        </w:rPr>
        <w:tab/>
        <w:t xml:space="preserve">Participate or assist, in any capacity, in any business that is competitive with or </w:t>
      </w:r>
      <w:proofErr w:type="gramStart"/>
      <w:r w:rsidRPr="004E4286">
        <w:rPr>
          <w:rFonts w:ascii="Arial" w:hAnsi="Arial" w:cs="Arial"/>
        </w:rPr>
        <w:t>similar to</w:t>
      </w:r>
      <w:proofErr w:type="gramEnd"/>
      <w:r w:rsidRPr="004E4286">
        <w:rPr>
          <w:rFonts w:ascii="Arial" w:hAnsi="Arial" w:cs="Arial"/>
        </w:rPr>
        <w:t xml:space="preserve"> the present or anticipated business of the Company, or that would interfere with the performance of the Participant’s responsibilities to the Company.</w:t>
      </w:r>
    </w:p>
    <w:p w14:paraId="70456607" w14:textId="77777777" w:rsidR="00E756EC" w:rsidRPr="004E4286" w:rsidRDefault="00E756EC" w:rsidP="00E756EC">
      <w:pPr>
        <w:ind w:left="360"/>
        <w:jc w:val="both"/>
        <w:rPr>
          <w:rFonts w:ascii="Arial" w:hAnsi="Arial" w:cs="Arial"/>
        </w:rPr>
      </w:pPr>
    </w:p>
    <w:p w14:paraId="31681BA5" w14:textId="6236999A" w:rsidR="00E756EC" w:rsidRPr="004E4286" w:rsidRDefault="00E756EC" w:rsidP="00324164">
      <w:pPr>
        <w:pStyle w:val="Heading2"/>
      </w:pPr>
      <w:bookmarkStart w:id="21" w:name="_Toc376861311"/>
      <w:r w:rsidRPr="004E4286">
        <w:t xml:space="preserve">Ethical </w:t>
      </w:r>
      <w:r w:rsidR="0026314A">
        <w:t>c</w:t>
      </w:r>
      <w:r w:rsidRPr="004E4286">
        <w:t>onduct</w:t>
      </w:r>
      <w:bookmarkEnd w:id="21"/>
    </w:p>
    <w:p w14:paraId="01F96196" w14:textId="77777777" w:rsidR="00E756EC" w:rsidRDefault="00E756EC" w:rsidP="00E756EC">
      <w:pPr>
        <w:ind w:left="360"/>
        <w:jc w:val="both"/>
        <w:rPr>
          <w:rFonts w:ascii="Arial" w:hAnsi="Arial" w:cs="Arial"/>
        </w:rPr>
      </w:pPr>
      <w:r w:rsidRPr="004E4286">
        <w:rPr>
          <w:rFonts w:ascii="Arial" w:hAnsi="Arial" w:cs="Arial"/>
        </w:rPr>
        <w:t>Participants are expected to fully abide by Company Code of Conduct policies established for proper</w:t>
      </w:r>
      <w:r>
        <w:rPr>
          <w:rFonts w:ascii="Arial" w:hAnsi="Arial" w:cs="Arial"/>
        </w:rPr>
        <w:t xml:space="preserve"> conduct in business dealings.</w:t>
      </w:r>
    </w:p>
    <w:p w14:paraId="57216665" w14:textId="77777777" w:rsidR="00E756EC" w:rsidRDefault="00E756EC" w:rsidP="00E756EC">
      <w:pPr>
        <w:ind w:left="360"/>
        <w:jc w:val="both"/>
        <w:rPr>
          <w:rFonts w:ascii="Arial" w:hAnsi="Arial" w:cs="Arial"/>
        </w:rPr>
      </w:pPr>
    </w:p>
    <w:p w14:paraId="376225A8" w14:textId="22A92038" w:rsidR="00E756EC" w:rsidRPr="004E4286" w:rsidRDefault="00E756EC" w:rsidP="00324164">
      <w:pPr>
        <w:pStyle w:val="Heading2"/>
      </w:pPr>
      <w:bookmarkStart w:id="22" w:name="_Toc376861312"/>
      <w:r w:rsidRPr="004E4286">
        <w:t xml:space="preserve">Right to </w:t>
      </w:r>
      <w:r w:rsidR="0026314A">
        <w:t>a</w:t>
      </w:r>
      <w:r w:rsidRPr="004E4286">
        <w:t xml:space="preserve">mend </w:t>
      </w:r>
      <w:r w:rsidR="0026314A">
        <w:t>p</w:t>
      </w:r>
      <w:r w:rsidRPr="004E4286">
        <w:t>lan</w:t>
      </w:r>
      <w:bookmarkEnd w:id="22"/>
    </w:p>
    <w:p w14:paraId="4B4B7D44" w14:textId="77777777" w:rsidR="00E756EC" w:rsidRPr="00332AC6" w:rsidRDefault="00E756EC" w:rsidP="00E756EC">
      <w:pPr>
        <w:pStyle w:val="BodyText3"/>
        <w:spacing w:after="0"/>
        <w:ind w:left="360"/>
        <w:jc w:val="both"/>
        <w:rPr>
          <w:rFonts w:ascii="Arial" w:hAnsi="Arial" w:cs="Arial"/>
          <w:sz w:val="20"/>
          <w:szCs w:val="20"/>
        </w:rPr>
      </w:pPr>
      <w:r w:rsidRPr="00332AC6">
        <w:rPr>
          <w:rFonts w:ascii="Arial" w:hAnsi="Arial" w:cs="Arial"/>
          <w:sz w:val="20"/>
          <w:szCs w:val="20"/>
        </w:rPr>
        <w:t xml:space="preserve">Company reserves the right to make the following changes as any time with written notice:  </w:t>
      </w:r>
    </w:p>
    <w:p w14:paraId="2A116E60" w14:textId="77777777" w:rsidR="00E756EC" w:rsidRPr="00332AC6" w:rsidRDefault="00E756EC" w:rsidP="00E756EC">
      <w:pPr>
        <w:pStyle w:val="BodyText3"/>
        <w:spacing w:after="0"/>
        <w:ind w:left="360"/>
        <w:jc w:val="both"/>
        <w:rPr>
          <w:rFonts w:ascii="Arial" w:hAnsi="Arial" w:cs="Arial"/>
          <w:sz w:val="20"/>
          <w:szCs w:val="20"/>
        </w:rPr>
      </w:pPr>
      <w:r w:rsidRPr="00332AC6">
        <w:rPr>
          <w:rFonts w:ascii="Arial" w:hAnsi="Arial" w:cs="Arial"/>
          <w:sz w:val="20"/>
          <w:szCs w:val="20"/>
        </w:rPr>
        <w:t xml:space="preserve">1) </w:t>
      </w:r>
      <w:r>
        <w:rPr>
          <w:rFonts w:ascii="Arial" w:hAnsi="Arial" w:cs="Arial"/>
          <w:sz w:val="20"/>
          <w:szCs w:val="20"/>
        </w:rPr>
        <w:t xml:space="preserve"> </w:t>
      </w:r>
      <w:r w:rsidRPr="00332AC6">
        <w:rPr>
          <w:rFonts w:ascii="Arial" w:hAnsi="Arial" w:cs="Arial"/>
          <w:sz w:val="20"/>
          <w:szCs w:val="20"/>
        </w:rPr>
        <w:t xml:space="preserve">Reassign territories, and/or accounts, quotas, customers </w:t>
      </w:r>
    </w:p>
    <w:p w14:paraId="79C41617" w14:textId="77777777" w:rsidR="00E756EC" w:rsidRPr="00332AC6" w:rsidRDefault="00E756EC" w:rsidP="00E756EC">
      <w:pPr>
        <w:pStyle w:val="BodyText3"/>
        <w:spacing w:after="0"/>
        <w:ind w:left="360"/>
        <w:jc w:val="both"/>
        <w:rPr>
          <w:rFonts w:ascii="Arial" w:hAnsi="Arial" w:cs="Arial"/>
          <w:sz w:val="20"/>
          <w:szCs w:val="20"/>
        </w:rPr>
      </w:pPr>
      <w:r w:rsidRPr="00332AC6">
        <w:rPr>
          <w:rFonts w:ascii="Arial" w:hAnsi="Arial" w:cs="Arial"/>
          <w:sz w:val="20"/>
          <w:szCs w:val="20"/>
        </w:rPr>
        <w:t>2)  Assign split or shared incentives where cooperative sales efforts are involved</w:t>
      </w:r>
    </w:p>
    <w:p w14:paraId="7290598D" w14:textId="77777777" w:rsidR="00E756EC" w:rsidRPr="00332AC6" w:rsidRDefault="00E756EC" w:rsidP="00E756EC">
      <w:pPr>
        <w:pStyle w:val="BodyText3"/>
        <w:spacing w:after="0"/>
        <w:ind w:left="360"/>
        <w:jc w:val="both"/>
        <w:rPr>
          <w:rFonts w:ascii="Arial" w:hAnsi="Arial" w:cs="Arial"/>
          <w:sz w:val="20"/>
          <w:szCs w:val="20"/>
        </w:rPr>
      </w:pPr>
      <w:r w:rsidRPr="00332AC6">
        <w:rPr>
          <w:rFonts w:ascii="Arial" w:hAnsi="Arial" w:cs="Arial"/>
          <w:sz w:val="20"/>
          <w:szCs w:val="20"/>
        </w:rPr>
        <w:t>3)  Terminate participation in the Plan of any individual</w:t>
      </w:r>
    </w:p>
    <w:p w14:paraId="26C87753" w14:textId="77777777" w:rsidR="00E756EC" w:rsidRPr="00332AC6" w:rsidRDefault="00E756EC" w:rsidP="00E756EC">
      <w:pPr>
        <w:pStyle w:val="BodyText3"/>
        <w:spacing w:after="0"/>
        <w:ind w:left="360"/>
        <w:jc w:val="both"/>
        <w:rPr>
          <w:rFonts w:ascii="Arial" w:hAnsi="Arial" w:cs="Arial"/>
          <w:sz w:val="20"/>
          <w:szCs w:val="20"/>
        </w:rPr>
      </w:pPr>
      <w:r w:rsidRPr="00332AC6">
        <w:rPr>
          <w:rFonts w:ascii="Arial" w:hAnsi="Arial" w:cs="Arial"/>
          <w:sz w:val="20"/>
          <w:szCs w:val="20"/>
        </w:rPr>
        <w:t xml:space="preserve">4)  Change the content of the Sales Compensation Plan </w:t>
      </w:r>
    </w:p>
    <w:p w14:paraId="739683CA" w14:textId="77777777" w:rsidR="00E756EC" w:rsidRDefault="00E756EC" w:rsidP="00E756EC">
      <w:pPr>
        <w:pStyle w:val="BodyText3"/>
        <w:ind w:left="360"/>
        <w:jc w:val="both"/>
        <w:rPr>
          <w:rFonts w:ascii="Arial" w:hAnsi="Arial" w:cs="Arial"/>
          <w:sz w:val="20"/>
          <w:szCs w:val="20"/>
        </w:rPr>
      </w:pPr>
      <w:r w:rsidRPr="00400E0A">
        <w:rPr>
          <w:rFonts w:ascii="Arial" w:hAnsi="Arial" w:cs="Arial"/>
          <w:sz w:val="20"/>
          <w:szCs w:val="20"/>
        </w:rPr>
        <w:t>Notification of any changes to the Plan will be made in writing to the affected Participants. Any changes will not affect Incentives that have already been earned.</w:t>
      </w:r>
    </w:p>
    <w:p w14:paraId="704AD803" w14:textId="0B0DB266" w:rsidR="00E756EC" w:rsidRPr="004E4286" w:rsidRDefault="00E756EC" w:rsidP="00324164">
      <w:pPr>
        <w:pStyle w:val="Heading2"/>
      </w:pPr>
      <w:bookmarkStart w:id="23" w:name="_Toc376861313"/>
      <w:r w:rsidRPr="004E4286">
        <w:t xml:space="preserve">Plan </w:t>
      </w:r>
      <w:r w:rsidR="0026314A">
        <w:t>i</w:t>
      </w:r>
      <w:r w:rsidRPr="004E4286">
        <w:t>nterpretation</w:t>
      </w:r>
      <w:bookmarkEnd w:id="23"/>
    </w:p>
    <w:p w14:paraId="024DE00F" w14:textId="5E53B971" w:rsidR="00E756EC" w:rsidRPr="004E4286" w:rsidRDefault="00E756EC" w:rsidP="00E756EC">
      <w:pPr>
        <w:pStyle w:val="BodyText2"/>
        <w:spacing w:after="0" w:line="240" w:lineRule="auto"/>
        <w:ind w:left="360"/>
        <w:jc w:val="both"/>
        <w:rPr>
          <w:rFonts w:ascii="Arial" w:hAnsi="Arial" w:cs="Arial"/>
        </w:rPr>
      </w:pPr>
      <w:r w:rsidRPr="004E4286">
        <w:rPr>
          <w:rFonts w:ascii="Arial" w:hAnsi="Arial" w:cs="Arial"/>
        </w:rPr>
        <w:t>In the event of a dispute,</w:t>
      </w:r>
      <w:r w:rsidR="00A82135">
        <w:rPr>
          <w:rFonts w:ascii="Arial" w:hAnsi="Arial" w:cs="Arial"/>
        </w:rPr>
        <w:t xml:space="preserve"> the</w:t>
      </w:r>
      <w:r w:rsidRPr="004E4286">
        <w:rPr>
          <w:rFonts w:ascii="Arial" w:hAnsi="Arial" w:cs="Arial"/>
        </w:rPr>
        <w:t xml:space="preserve"> </w:t>
      </w:r>
      <w:r w:rsidR="00A87B59" w:rsidRPr="00A87B59">
        <w:rPr>
          <w:rFonts w:ascii="Arial" w:hAnsi="Arial" w:cs="Arial"/>
          <w:highlight w:val="yellow"/>
        </w:rPr>
        <w:t>&lt;</w:t>
      </w:r>
      <w:r w:rsidR="00A87B59">
        <w:rPr>
          <w:rFonts w:ascii="Arial" w:hAnsi="Arial" w:cs="Arial"/>
          <w:highlight w:val="yellow"/>
        </w:rPr>
        <w:t>Head of Sales</w:t>
      </w:r>
      <w:r w:rsidR="00A87B59" w:rsidRPr="00A87B59">
        <w:rPr>
          <w:rFonts w:ascii="Arial" w:hAnsi="Arial" w:cs="Arial"/>
          <w:highlight w:val="yellow"/>
        </w:rPr>
        <w:t>&gt;</w:t>
      </w:r>
      <w:r w:rsidR="00A87B59">
        <w:rPr>
          <w:rFonts w:ascii="Arial" w:hAnsi="Arial" w:cs="Arial"/>
        </w:rPr>
        <w:t xml:space="preserve"> </w:t>
      </w:r>
      <w:r w:rsidRPr="004E4286">
        <w:rPr>
          <w:rFonts w:ascii="Arial" w:hAnsi="Arial" w:cs="Arial"/>
        </w:rPr>
        <w:t>shall make the final and binding interpretation of this Plan when determining amounts payable under the Plan.</w:t>
      </w:r>
    </w:p>
    <w:p w14:paraId="00994165" w14:textId="77777777" w:rsidR="00E756EC" w:rsidRDefault="00E756EC" w:rsidP="00E756EC">
      <w:pPr>
        <w:ind w:left="360"/>
        <w:jc w:val="both"/>
        <w:rPr>
          <w:rFonts w:ascii="Arial" w:hAnsi="Arial" w:cs="Arial"/>
        </w:rPr>
      </w:pPr>
    </w:p>
    <w:p w14:paraId="126E7E0A" w14:textId="77777777" w:rsidR="00E756EC" w:rsidRPr="004E4286" w:rsidRDefault="00E756EC" w:rsidP="00324164">
      <w:pPr>
        <w:pStyle w:val="Heading2"/>
      </w:pPr>
      <w:bookmarkStart w:id="24" w:name="_Toc376861314"/>
      <w:r>
        <w:t>Questions</w:t>
      </w:r>
      <w:bookmarkEnd w:id="24"/>
    </w:p>
    <w:p w14:paraId="33E5EE8A" w14:textId="77777777" w:rsidR="00E756EC" w:rsidRPr="004E4286" w:rsidRDefault="00E756EC" w:rsidP="00E756EC">
      <w:pPr>
        <w:ind w:left="360"/>
        <w:jc w:val="both"/>
        <w:rPr>
          <w:rFonts w:ascii="Arial" w:hAnsi="Arial" w:cs="Arial"/>
        </w:rPr>
      </w:pPr>
      <w:r w:rsidRPr="00400E0A">
        <w:rPr>
          <w:rFonts w:ascii="Arial" w:hAnsi="Arial" w:cs="Arial"/>
        </w:rPr>
        <w:t xml:space="preserve">Any Participant having a question regarding the </w:t>
      </w:r>
      <w:proofErr w:type="gramStart"/>
      <w:r w:rsidRPr="00400E0A">
        <w:rPr>
          <w:rFonts w:ascii="Arial" w:hAnsi="Arial" w:cs="Arial"/>
        </w:rPr>
        <w:t>Plan</w:t>
      </w:r>
      <w:proofErr w:type="gramEnd"/>
      <w:r w:rsidRPr="00400E0A">
        <w:rPr>
          <w:rFonts w:ascii="Arial" w:hAnsi="Arial" w:cs="Arial"/>
        </w:rPr>
        <w:t xml:space="preserve"> or the calculation of Incentives earned under the Plan should contact their direct manager or, in the case of Incentive calculation issues, the Finance Department.</w:t>
      </w:r>
    </w:p>
    <w:p w14:paraId="16FCF198" w14:textId="77777777" w:rsidR="00E756EC" w:rsidRPr="004E4286" w:rsidRDefault="00E756EC" w:rsidP="00E756EC">
      <w:pPr>
        <w:rPr>
          <w:rFonts w:ascii="Arial" w:hAnsi="Arial" w:cs="Arial"/>
        </w:rPr>
      </w:pPr>
    </w:p>
    <w:p w14:paraId="00CD0886" w14:textId="77777777" w:rsidR="00E756EC" w:rsidRPr="00324164" w:rsidRDefault="00E756EC" w:rsidP="00DE2299">
      <w:pPr>
        <w:pStyle w:val="Heading4"/>
        <w:numPr>
          <w:ilvl w:val="0"/>
          <w:numId w:val="45"/>
        </w:numPr>
        <w:ind w:left="360"/>
        <w:rPr>
          <w:color w:val="235043"/>
        </w:rPr>
      </w:pPr>
      <w:bookmarkStart w:id="25" w:name="_Toc62554230"/>
      <w:bookmarkStart w:id="26" w:name="_Toc62556470"/>
      <w:bookmarkStart w:id="27" w:name="_Toc62554232"/>
      <w:bookmarkStart w:id="28" w:name="_Toc62556472"/>
      <w:bookmarkStart w:id="29" w:name="_Toc62554233"/>
      <w:bookmarkStart w:id="30" w:name="_Toc62556473"/>
      <w:bookmarkStart w:id="31" w:name="_Toc62554234"/>
      <w:bookmarkStart w:id="32" w:name="_Toc62556474"/>
      <w:bookmarkStart w:id="33" w:name="_Toc62554236"/>
      <w:bookmarkStart w:id="34" w:name="_Toc62556476"/>
      <w:bookmarkStart w:id="35" w:name="_Toc62554237"/>
      <w:bookmarkStart w:id="36" w:name="_Toc62556477"/>
      <w:bookmarkStart w:id="37" w:name="_Toc62554239"/>
      <w:bookmarkStart w:id="38" w:name="_Toc62556479"/>
      <w:bookmarkStart w:id="39" w:name="_Toc62554240"/>
      <w:bookmarkStart w:id="40" w:name="_Toc62556480"/>
      <w:bookmarkStart w:id="41" w:name="_Toc62554241"/>
      <w:bookmarkStart w:id="42" w:name="_Toc62556481"/>
      <w:bookmarkStart w:id="43" w:name="_Toc62554242"/>
      <w:bookmarkStart w:id="44" w:name="_Toc62556482"/>
      <w:bookmarkStart w:id="45" w:name="_Toc62554243"/>
      <w:bookmarkStart w:id="46" w:name="_Toc62556483"/>
      <w:bookmarkStart w:id="47" w:name="_Toc62554244"/>
      <w:bookmarkStart w:id="48" w:name="_Toc62556484"/>
      <w:bookmarkStart w:id="49" w:name="_Toc62554245"/>
      <w:bookmarkStart w:id="50" w:name="_Toc62556485"/>
      <w:bookmarkStart w:id="51" w:name="_Toc62554246"/>
      <w:bookmarkStart w:id="52" w:name="_Toc62556486"/>
      <w:bookmarkStart w:id="53" w:name="_Toc62554247"/>
      <w:bookmarkStart w:id="54" w:name="_Toc62556487"/>
      <w:bookmarkStart w:id="55" w:name="_Toc62554248"/>
      <w:bookmarkStart w:id="56" w:name="_Toc62556488"/>
      <w:bookmarkStart w:id="57" w:name="_Toc62554249"/>
      <w:bookmarkStart w:id="58" w:name="_Toc62556489"/>
      <w:bookmarkStart w:id="59" w:name="_Toc62554251"/>
      <w:bookmarkStart w:id="60" w:name="_Toc62556491"/>
      <w:bookmarkStart w:id="61" w:name="_Toc62554252"/>
      <w:bookmarkStart w:id="62" w:name="_Toc62556492"/>
      <w:bookmarkStart w:id="63" w:name="_Toc62554253"/>
      <w:bookmarkStart w:id="64" w:name="_Toc62556493"/>
      <w:bookmarkStart w:id="65" w:name="_Toc62554255"/>
      <w:bookmarkStart w:id="66" w:name="_Toc62556495"/>
      <w:bookmarkStart w:id="67" w:name="_Toc62554257"/>
      <w:bookmarkStart w:id="68" w:name="_Toc62556497"/>
      <w:bookmarkStart w:id="69" w:name="_Toc62554258"/>
      <w:bookmarkStart w:id="70" w:name="_Toc62556498"/>
      <w:bookmarkStart w:id="71" w:name="_Toc62554259"/>
      <w:bookmarkStart w:id="72" w:name="_Toc62556499"/>
      <w:bookmarkStart w:id="73" w:name="_Toc62554261"/>
      <w:bookmarkStart w:id="74" w:name="_Toc62556501"/>
      <w:bookmarkStart w:id="75" w:name="_Toc62554262"/>
      <w:bookmarkStart w:id="76" w:name="_Toc62556502"/>
      <w:bookmarkStart w:id="77" w:name="_Toc4265268"/>
      <w:bookmarkStart w:id="78" w:name="_Toc4424882"/>
      <w:bookmarkStart w:id="79" w:name="_Toc4513254"/>
      <w:bookmarkStart w:id="80" w:name="_Toc4515898"/>
      <w:bookmarkStart w:id="81" w:name="_Toc4845640"/>
      <w:bookmarkStart w:id="82" w:name="_Toc37686131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324164">
        <w:rPr>
          <w:color w:val="235043"/>
        </w:rPr>
        <w:t xml:space="preserve">Compensation </w:t>
      </w:r>
      <w:bookmarkEnd w:id="77"/>
      <w:bookmarkEnd w:id="78"/>
      <w:bookmarkEnd w:id="79"/>
      <w:bookmarkEnd w:id="80"/>
      <w:bookmarkEnd w:id="81"/>
      <w:r w:rsidRPr="00324164">
        <w:rPr>
          <w:color w:val="235043"/>
        </w:rPr>
        <w:t>Elements</w:t>
      </w:r>
      <w:bookmarkEnd w:id="82"/>
    </w:p>
    <w:p w14:paraId="54CCA7EA" w14:textId="77777777" w:rsidR="00E756EC" w:rsidRPr="00B616C6" w:rsidRDefault="00E756EC" w:rsidP="00E756EC">
      <w:pPr>
        <w:jc w:val="both"/>
        <w:rPr>
          <w:rFonts w:ascii="Arial" w:hAnsi="Arial" w:cs="Arial"/>
        </w:rPr>
      </w:pPr>
      <w:r w:rsidRPr="00B616C6">
        <w:rPr>
          <w:rFonts w:ascii="Arial" w:hAnsi="Arial" w:cs="Arial"/>
        </w:rPr>
        <w:t>Participants of this Plan may be eligible to earn a Target Total Compensation which includes the following two cash compensation elements:</w:t>
      </w:r>
    </w:p>
    <w:p w14:paraId="4A528E6E" w14:textId="77777777" w:rsidR="00E756EC" w:rsidRPr="00B616C6" w:rsidRDefault="00E756EC" w:rsidP="00E756EC">
      <w:pPr>
        <w:numPr>
          <w:ilvl w:val="0"/>
          <w:numId w:val="19"/>
        </w:numPr>
        <w:jc w:val="both"/>
        <w:rPr>
          <w:rFonts w:ascii="Arial" w:hAnsi="Arial" w:cs="Arial"/>
        </w:rPr>
      </w:pPr>
      <w:r w:rsidRPr="00B616C6">
        <w:rPr>
          <w:rFonts w:ascii="Arial" w:hAnsi="Arial" w:cs="Arial"/>
        </w:rPr>
        <w:t>Annual Base Salary (fixed)</w:t>
      </w:r>
    </w:p>
    <w:p w14:paraId="5C2EEFC5" w14:textId="345A93E1" w:rsidR="00E756EC" w:rsidRPr="00B616C6" w:rsidRDefault="00E756EC" w:rsidP="00E756EC">
      <w:pPr>
        <w:numPr>
          <w:ilvl w:val="0"/>
          <w:numId w:val="20"/>
        </w:numPr>
        <w:jc w:val="both"/>
        <w:rPr>
          <w:rFonts w:ascii="Arial" w:hAnsi="Arial" w:cs="Arial"/>
        </w:rPr>
      </w:pPr>
      <w:r w:rsidRPr="00B616C6">
        <w:rPr>
          <w:rFonts w:ascii="Arial" w:hAnsi="Arial" w:cs="Arial"/>
        </w:rPr>
        <w:t>Target Incentive (variable based on sales bookings, revenue</w:t>
      </w:r>
      <w:r w:rsidR="00A87B59">
        <w:rPr>
          <w:rFonts w:ascii="Arial" w:hAnsi="Arial" w:cs="Arial"/>
        </w:rPr>
        <w:t>,</w:t>
      </w:r>
      <w:r w:rsidRPr="00B616C6">
        <w:rPr>
          <w:rFonts w:ascii="Arial" w:hAnsi="Arial" w:cs="Arial"/>
        </w:rPr>
        <w:t xml:space="preserve"> or MBO performance)</w:t>
      </w:r>
    </w:p>
    <w:p w14:paraId="0FB1424B" w14:textId="77777777" w:rsidR="00E756EC" w:rsidRPr="004E4286" w:rsidRDefault="00E756EC" w:rsidP="00E756EC">
      <w:pPr>
        <w:pStyle w:val="BodyText"/>
        <w:spacing w:after="0"/>
        <w:rPr>
          <w:rFonts w:cs="Arial"/>
          <w:sz w:val="20"/>
          <w:szCs w:val="20"/>
        </w:rPr>
      </w:pPr>
      <w:r w:rsidRPr="00B616C6">
        <w:rPr>
          <w:rFonts w:cs="Arial"/>
          <w:sz w:val="20"/>
          <w:szCs w:val="20"/>
        </w:rPr>
        <w:t>The Company reviews Target Total Compensation annually</w:t>
      </w:r>
      <w:r w:rsidRPr="004E4286">
        <w:rPr>
          <w:rFonts w:cs="Arial"/>
          <w:sz w:val="20"/>
          <w:szCs w:val="20"/>
        </w:rPr>
        <w:t xml:space="preserve"> to ensure that the Company remains competitive to the market. Typically, any change to any element of a Participant’s </w:t>
      </w:r>
      <w:r>
        <w:rPr>
          <w:rFonts w:cs="Arial"/>
          <w:sz w:val="20"/>
          <w:szCs w:val="20"/>
        </w:rPr>
        <w:t>TTC</w:t>
      </w:r>
      <w:r w:rsidRPr="004E4286">
        <w:rPr>
          <w:rFonts w:cs="Arial"/>
          <w:sz w:val="20"/>
          <w:szCs w:val="20"/>
        </w:rPr>
        <w:t xml:space="preserve"> will be made when the entire Company is reviewed. </w:t>
      </w:r>
    </w:p>
    <w:p w14:paraId="1E48F60A" w14:textId="77777777" w:rsidR="00E756EC" w:rsidRPr="004E4286" w:rsidRDefault="00E756EC" w:rsidP="00E756EC">
      <w:pPr>
        <w:pStyle w:val="BodyText2"/>
        <w:spacing w:after="0" w:line="240" w:lineRule="auto"/>
        <w:jc w:val="both"/>
        <w:rPr>
          <w:rFonts w:ascii="Arial" w:hAnsi="Arial" w:cs="Arial"/>
        </w:rPr>
      </w:pPr>
    </w:p>
    <w:p w14:paraId="70139959" w14:textId="0E02A190" w:rsidR="00E756EC" w:rsidRPr="004E4286" w:rsidRDefault="00E756EC" w:rsidP="00324164">
      <w:pPr>
        <w:pStyle w:val="Heading2"/>
      </w:pPr>
      <w:bookmarkStart w:id="83" w:name="_Toc62554264"/>
      <w:bookmarkStart w:id="84" w:name="_Toc62556504"/>
      <w:bookmarkStart w:id="85" w:name="_Toc4265269"/>
      <w:bookmarkStart w:id="86" w:name="_Toc4424883"/>
      <w:bookmarkStart w:id="87" w:name="_Toc4513255"/>
      <w:bookmarkStart w:id="88" w:name="_Toc4515899"/>
      <w:bookmarkStart w:id="89" w:name="_Toc4845641"/>
      <w:bookmarkStart w:id="90" w:name="_Toc376861316"/>
      <w:bookmarkEnd w:id="83"/>
      <w:bookmarkEnd w:id="84"/>
      <w:r w:rsidRPr="004E4286">
        <w:t xml:space="preserve">Base </w:t>
      </w:r>
      <w:r w:rsidR="0064158F">
        <w:t>s</w:t>
      </w:r>
      <w:r w:rsidRPr="004E4286">
        <w:t>alary</w:t>
      </w:r>
      <w:bookmarkEnd w:id="85"/>
      <w:bookmarkEnd w:id="86"/>
      <w:bookmarkEnd w:id="87"/>
      <w:bookmarkEnd w:id="88"/>
      <w:bookmarkEnd w:id="89"/>
      <w:bookmarkEnd w:id="90"/>
    </w:p>
    <w:p w14:paraId="3AEEE29E" w14:textId="351D958E" w:rsidR="00E756EC" w:rsidRPr="004E4286" w:rsidRDefault="00E756EC" w:rsidP="00E756EC">
      <w:pPr>
        <w:pStyle w:val="BodyText2"/>
        <w:spacing w:after="0" w:line="240" w:lineRule="auto"/>
        <w:ind w:left="720"/>
        <w:jc w:val="both"/>
        <w:rPr>
          <w:rFonts w:ascii="Arial" w:hAnsi="Arial" w:cs="Arial"/>
        </w:rPr>
      </w:pPr>
      <w:r w:rsidRPr="004E4286">
        <w:rPr>
          <w:rFonts w:ascii="Arial" w:hAnsi="Arial" w:cs="Arial"/>
        </w:rPr>
        <w:t>Each Participant in the sales organization has a base salary.  The base salary compensates the participant for performance of professional responsibilities including but not limited to (a) customer satisfaction, (b) effective teamwork and leadership, (c) territory business management including prospecting, forecasting</w:t>
      </w:r>
      <w:r w:rsidR="00277C05">
        <w:rPr>
          <w:rFonts w:ascii="Arial" w:hAnsi="Arial" w:cs="Arial"/>
        </w:rPr>
        <w:t>,</w:t>
      </w:r>
      <w:r w:rsidRPr="004E4286">
        <w:rPr>
          <w:rFonts w:ascii="Arial" w:hAnsi="Arial" w:cs="Arial"/>
        </w:rPr>
        <w:t xml:space="preserve"> and appropriate expense control, (d) account management, (e) attainment of individual goals, (f) consistent, comprehensive documenting of opportunities i</w:t>
      </w:r>
      <w:r w:rsidR="00177965">
        <w:rPr>
          <w:rFonts w:ascii="Arial" w:hAnsi="Arial" w:cs="Arial"/>
        </w:rPr>
        <w:t>n</w:t>
      </w:r>
      <w:r w:rsidR="0009497F">
        <w:rPr>
          <w:rFonts w:ascii="Arial" w:hAnsi="Arial" w:cs="Arial"/>
        </w:rPr>
        <w:t xml:space="preserve"> the</w:t>
      </w:r>
      <w:r w:rsidRPr="004E4286">
        <w:rPr>
          <w:rFonts w:ascii="Arial" w:hAnsi="Arial" w:cs="Arial"/>
        </w:rPr>
        <w:t xml:space="preserve"> CRM system, (g) demonstrated adherence to Company’s key sales values, and (h) accurate and timely reporting. </w:t>
      </w:r>
    </w:p>
    <w:p w14:paraId="7978A7D4" w14:textId="77777777" w:rsidR="00E756EC" w:rsidRPr="004E4286" w:rsidRDefault="00E756EC" w:rsidP="00E756EC">
      <w:pPr>
        <w:pStyle w:val="BodyText2"/>
        <w:spacing w:after="0" w:line="240" w:lineRule="auto"/>
        <w:ind w:left="720"/>
        <w:jc w:val="both"/>
        <w:rPr>
          <w:rFonts w:ascii="Arial" w:hAnsi="Arial" w:cs="Arial"/>
        </w:rPr>
      </w:pPr>
    </w:p>
    <w:p w14:paraId="24CB6774" w14:textId="7A3D219C" w:rsidR="00E756EC" w:rsidRPr="004E4286" w:rsidRDefault="00E756EC" w:rsidP="00E756EC">
      <w:pPr>
        <w:pStyle w:val="BodyText2"/>
        <w:spacing w:after="0" w:line="240" w:lineRule="auto"/>
        <w:ind w:left="720"/>
        <w:jc w:val="both"/>
        <w:rPr>
          <w:rFonts w:ascii="Arial" w:hAnsi="Arial" w:cs="Arial"/>
        </w:rPr>
      </w:pPr>
      <w:r w:rsidRPr="004E4286">
        <w:rPr>
          <w:rFonts w:ascii="Arial" w:hAnsi="Arial" w:cs="Arial"/>
        </w:rPr>
        <w:t>The base salary level is fixed and will be reviewed on an annual basis by management and HR to ensure that it is market competitive. The base salary may be reviewed by management more frequently depending on circumstances such as change in duties and responsibilities, territories, promotions</w:t>
      </w:r>
      <w:r w:rsidR="00277C05">
        <w:rPr>
          <w:rFonts w:ascii="Arial" w:hAnsi="Arial" w:cs="Arial"/>
        </w:rPr>
        <w:t>,</w:t>
      </w:r>
      <w:r w:rsidRPr="004E4286">
        <w:rPr>
          <w:rFonts w:ascii="Arial" w:hAnsi="Arial" w:cs="Arial"/>
        </w:rPr>
        <w:t xml:space="preserve"> etc. </w:t>
      </w:r>
    </w:p>
    <w:p w14:paraId="2A4C9526" w14:textId="77777777" w:rsidR="00E756EC" w:rsidRPr="004E4286" w:rsidRDefault="00E756EC" w:rsidP="00E756EC">
      <w:pPr>
        <w:pStyle w:val="BodyText2"/>
        <w:spacing w:after="0" w:line="240" w:lineRule="auto"/>
        <w:ind w:left="720"/>
        <w:jc w:val="both"/>
        <w:rPr>
          <w:rFonts w:ascii="Arial" w:hAnsi="Arial" w:cs="Arial"/>
        </w:rPr>
      </w:pPr>
    </w:p>
    <w:p w14:paraId="57029BA2" w14:textId="77777777" w:rsidR="00E756EC" w:rsidRPr="004E4286" w:rsidRDefault="00E756EC" w:rsidP="00324164">
      <w:pPr>
        <w:pStyle w:val="Heading2"/>
      </w:pPr>
      <w:bookmarkStart w:id="91" w:name="_Toc376861317"/>
      <w:r w:rsidRPr="004E4286">
        <w:t>Incentives</w:t>
      </w:r>
      <w:bookmarkEnd w:id="91"/>
    </w:p>
    <w:p w14:paraId="1A1984F9" w14:textId="77777777" w:rsidR="00E756EC" w:rsidRDefault="00E756EC" w:rsidP="00E756EC">
      <w:pPr>
        <w:ind w:left="720"/>
        <w:jc w:val="both"/>
        <w:rPr>
          <w:rFonts w:ascii="Arial" w:hAnsi="Arial" w:cs="Arial"/>
        </w:rPr>
      </w:pPr>
      <w:r w:rsidRPr="004E4286">
        <w:rPr>
          <w:rFonts w:ascii="Arial" w:hAnsi="Arial" w:cs="Arial"/>
        </w:rPr>
        <w:t xml:space="preserve">Incentives are earned based upon the achievement of specific goals.  Each </w:t>
      </w:r>
      <w:r>
        <w:rPr>
          <w:rFonts w:ascii="Arial" w:hAnsi="Arial" w:cs="Arial"/>
        </w:rPr>
        <w:t>P</w:t>
      </w:r>
      <w:r w:rsidRPr="004E4286">
        <w:rPr>
          <w:rFonts w:ascii="Arial" w:hAnsi="Arial" w:cs="Arial"/>
        </w:rPr>
        <w:t xml:space="preserve">lan will include </w:t>
      </w:r>
      <w:r>
        <w:rPr>
          <w:rFonts w:ascii="Arial" w:hAnsi="Arial" w:cs="Arial"/>
        </w:rPr>
        <w:t>3</w:t>
      </w:r>
      <w:r w:rsidRPr="004E4286">
        <w:rPr>
          <w:rFonts w:ascii="Arial" w:hAnsi="Arial" w:cs="Arial"/>
        </w:rPr>
        <w:t xml:space="preserve"> to </w:t>
      </w:r>
      <w:r>
        <w:rPr>
          <w:rFonts w:ascii="Arial" w:hAnsi="Arial" w:cs="Arial"/>
        </w:rPr>
        <w:t>4</w:t>
      </w:r>
      <w:r w:rsidRPr="004E4286">
        <w:rPr>
          <w:rFonts w:ascii="Arial" w:hAnsi="Arial" w:cs="Arial"/>
        </w:rPr>
        <w:t xml:space="preserve"> measures.  The following table lists</w:t>
      </w:r>
      <w:r>
        <w:rPr>
          <w:rFonts w:ascii="Arial" w:hAnsi="Arial" w:cs="Arial"/>
        </w:rPr>
        <w:t xml:space="preserve"> the measures and their definition: </w:t>
      </w:r>
    </w:p>
    <w:p w14:paraId="600F063E" w14:textId="77777777" w:rsidR="00E756EC" w:rsidRPr="004E4286" w:rsidRDefault="00E756EC" w:rsidP="00E756EC">
      <w:pPr>
        <w:ind w:left="720"/>
        <w:jc w:val="both"/>
        <w:rPr>
          <w:rFonts w:ascii="Arial" w:hAnsi="Arial" w:cs="Arial"/>
        </w:rPr>
      </w:pPr>
    </w:p>
    <w:tbl>
      <w:tblPr>
        <w:tblW w:w="9360" w:type="dxa"/>
        <w:tblInd w:w="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1260"/>
        <w:gridCol w:w="8100"/>
      </w:tblGrid>
      <w:tr w:rsidR="00E756EC" w:rsidRPr="00B758F9" w14:paraId="6C17A1FE" w14:textId="77777777" w:rsidTr="00245D06">
        <w:trPr>
          <w:trHeight w:val="170"/>
        </w:trPr>
        <w:tc>
          <w:tcPr>
            <w:tcW w:w="1260" w:type="dxa"/>
            <w:shd w:val="clear" w:color="auto" w:fill="235043"/>
          </w:tcPr>
          <w:p w14:paraId="3B6F64CC" w14:textId="77777777" w:rsidR="00E756EC" w:rsidRPr="00245D06" w:rsidRDefault="00E756EC" w:rsidP="00535EC7">
            <w:pPr>
              <w:keepNext/>
              <w:rPr>
                <w:rFonts w:ascii="Arial" w:hAnsi="Arial" w:cs="Arial"/>
                <w:b/>
                <w:color w:val="FFFFFF" w:themeColor="background1"/>
              </w:rPr>
            </w:pPr>
            <w:r w:rsidRPr="00245D06">
              <w:rPr>
                <w:rFonts w:ascii="Arial" w:hAnsi="Arial" w:cs="Arial"/>
                <w:b/>
                <w:color w:val="FFFFFF" w:themeColor="background1"/>
              </w:rPr>
              <w:lastRenderedPageBreak/>
              <w:t>Measure</w:t>
            </w:r>
          </w:p>
        </w:tc>
        <w:tc>
          <w:tcPr>
            <w:tcW w:w="8100" w:type="dxa"/>
            <w:shd w:val="clear" w:color="auto" w:fill="235043"/>
          </w:tcPr>
          <w:p w14:paraId="3B7AABA5" w14:textId="77777777" w:rsidR="00E756EC" w:rsidRPr="00245D06" w:rsidRDefault="00E756EC" w:rsidP="00535EC7">
            <w:pPr>
              <w:keepNext/>
              <w:rPr>
                <w:rFonts w:ascii="Arial" w:hAnsi="Arial" w:cs="Arial"/>
                <w:b/>
                <w:color w:val="FFFFFF" w:themeColor="background1"/>
              </w:rPr>
            </w:pPr>
            <w:r w:rsidRPr="00245D06">
              <w:rPr>
                <w:rFonts w:ascii="Arial" w:hAnsi="Arial" w:cs="Arial"/>
                <w:b/>
                <w:color w:val="FFFFFF" w:themeColor="background1"/>
              </w:rPr>
              <w:t>Definition</w:t>
            </w:r>
          </w:p>
        </w:tc>
      </w:tr>
      <w:tr w:rsidR="00E756EC" w:rsidRPr="00B758F9" w14:paraId="4E61CC16" w14:textId="77777777" w:rsidTr="00ED2654">
        <w:trPr>
          <w:trHeight w:val="341"/>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1AE914C" w14:textId="77777777" w:rsidR="00E756EC" w:rsidRPr="00B758F9" w:rsidRDefault="00E756EC" w:rsidP="00535EC7">
            <w:pPr>
              <w:keepNext/>
              <w:rPr>
                <w:rFonts w:ascii="Arial" w:hAnsi="Arial" w:cs="Arial"/>
              </w:rPr>
            </w:pPr>
            <w:r w:rsidRPr="00B758F9">
              <w:rPr>
                <w:rFonts w:ascii="Arial" w:hAnsi="Arial" w:cs="Arial"/>
              </w:rPr>
              <w:t>New Bookings</w:t>
            </w:r>
          </w:p>
        </w:tc>
        <w:tc>
          <w:tcPr>
            <w:tcW w:w="81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108EC67" w14:textId="77777777" w:rsidR="00E756EC" w:rsidRPr="00B758F9" w:rsidRDefault="00E756EC" w:rsidP="00535EC7">
            <w:pPr>
              <w:pStyle w:val="ListParagraph"/>
              <w:keepNext/>
              <w:ind w:left="0"/>
              <w:rPr>
                <w:rFonts w:ascii="Arial" w:hAnsi="Arial" w:cs="Arial"/>
              </w:rPr>
            </w:pPr>
            <w:r w:rsidRPr="00B758F9">
              <w:rPr>
                <w:rFonts w:ascii="Arial" w:hAnsi="Arial" w:cs="Arial"/>
              </w:rPr>
              <w:t xml:space="preserve">New Business Bookings is the total new annualized contract value (ACV) or Contract Value for pilots less any adjustments.  </w:t>
            </w:r>
          </w:p>
        </w:tc>
      </w:tr>
      <w:tr w:rsidR="00E756EC" w:rsidRPr="00B758F9" w14:paraId="0CDDA765" w14:textId="77777777" w:rsidTr="00ED2654">
        <w:trPr>
          <w:trHeight w:val="341"/>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8DF4954" w14:textId="77777777" w:rsidR="00E756EC" w:rsidRPr="00B758F9" w:rsidRDefault="00E756EC" w:rsidP="00535EC7">
            <w:pPr>
              <w:keepNext/>
              <w:rPr>
                <w:rFonts w:ascii="Arial" w:hAnsi="Arial" w:cs="Arial"/>
              </w:rPr>
            </w:pPr>
            <w:r w:rsidRPr="00B758F9">
              <w:rPr>
                <w:rFonts w:ascii="Arial" w:hAnsi="Arial" w:cs="Arial"/>
              </w:rPr>
              <w:t>Renewal Bookings</w:t>
            </w:r>
          </w:p>
        </w:tc>
        <w:tc>
          <w:tcPr>
            <w:tcW w:w="81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90CD895" w14:textId="77777777" w:rsidR="00E756EC" w:rsidRPr="00B758F9" w:rsidRDefault="00E756EC" w:rsidP="00535EC7">
            <w:pPr>
              <w:pStyle w:val="ListParagraph"/>
              <w:keepNext/>
              <w:ind w:left="0"/>
              <w:rPr>
                <w:rFonts w:ascii="Arial" w:hAnsi="Arial" w:cs="Arial"/>
              </w:rPr>
            </w:pPr>
            <w:r w:rsidRPr="00B758F9">
              <w:rPr>
                <w:rFonts w:ascii="Arial" w:hAnsi="Arial" w:cs="Arial"/>
              </w:rPr>
              <w:t xml:space="preserve">Renewal Bookings is the total renewal annualized contract value (ACV) less any adjustments.   </w:t>
            </w:r>
          </w:p>
        </w:tc>
      </w:tr>
      <w:tr w:rsidR="00E756EC" w:rsidRPr="00B758F9" w14:paraId="6A3D2D4B" w14:textId="77777777" w:rsidTr="00ED2654">
        <w:trPr>
          <w:trHeight w:val="557"/>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E6B8A4F" w14:textId="77777777" w:rsidR="00E756EC" w:rsidRPr="00B758F9" w:rsidRDefault="00E756EC" w:rsidP="00535EC7">
            <w:pPr>
              <w:keepNext/>
              <w:rPr>
                <w:rFonts w:ascii="Arial" w:hAnsi="Arial" w:cs="Arial"/>
              </w:rPr>
            </w:pPr>
            <w:r w:rsidRPr="00B758F9">
              <w:rPr>
                <w:rFonts w:ascii="Arial" w:hAnsi="Arial" w:cs="Arial"/>
              </w:rPr>
              <w:t>Multiyear Kicker</w:t>
            </w:r>
          </w:p>
        </w:tc>
        <w:tc>
          <w:tcPr>
            <w:tcW w:w="81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EA5D083" w14:textId="5E939849" w:rsidR="00E756EC" w:rsidRPr="00B758F9" w:rsidRDefault="00E756EC" w:rsidP="00535EC7">
            <w:pPr>
              <w:pStyle w:val="ListParagraph"/>
              <w:keepNext/>
              <w:ind w:left="0"/>
              <w:rPr>
                <w:rFonts w:ascii="Arial" w:hAnsi="Arial" w:cs="Arial"/>
              </w:rPr>
            </w:pPr>
            <w:r w:rsidRPr="00B758F9">
              <w:rPr>
                <w:rFonts w:ascii="Arial" w:hAnsi="Arial" w:cs="Arial"/>
              </w:rPr>
              <w:t xml:space="preserve">To recognize and reward Participants for closing multiyear deals, Participants will receive an additional incentive payment for deals greater than 18 months. The incentive payment is </w:t>
            </w:r>
            <w:r w:rsidR="00277C05">
              <w:rPr>
                <w:rFonts w:ascii="Arial" w:hAnsi="Arial" w:cs="Arial"/>
              </w:rPr>
              <w:t>calculated</w:t>
            </w:r>
            <w:r w:rsidRPr="00B758F9">
              <w:rPr>
                <w:rFonts w:ascii="Arial" w:hAnsi="Arial" w:cs="Arial"/>
              </w:rPr>
              <w:t xml:space="preserve"> </w:t>
            </w:r>
            <w:r w:rsidR="00277C05">
              <w:rPr>
                <w:rFonts w:ascii="Arial" w:hAnsi="Arial" w:cs="Arial"/>
              </w:rPr>
              <w:t>as</w:t>
            </w:r>
            <w:r w:rsidRPr="00B758F9">
              <w:rPr>
                <w:rFonts w:ascii="Arial" w:hAnsi="Arial" w:cs="Arial"/>
              </w:rPr>
              <w:t xml:space="preserve"> 20% of the Participant’s ICR multiplied by the ACV</w:t>
            </w:r>
            <w:r w:rsidR="00277C05">
              <w:rPr>
                <w:rFonts w:ascii="Arial" w:hAnsi="Arial" w:cs="Arial"/>
              </w:rPr>
              <w:t xml:space="preserve"> of the deal</w:t>
            </w:r>
            <w:r w:rsidRPr="00B758F9">
              <w:rPr>
                <w:rFonts w:ascii="Arial" w:hAnsi="Arial" w:cs="Arial"/>
              </w:rPr>
              <w:t xml:space="preserve">. </w:t>
            </w:r>
            <w:r w:rsidR="00050F54">
              <w:rPr>
                <w:rFonts w:ascii="Arial" w:hAnsi="Arial" w:cs="Arial"/>
              </w:rPr>
              <w:t>T</w:t>
            </w:r>
            <w:r w:rsidRPr="00B758F9">
              <w:rPr>
                <w:rFonts w:ascii="Arial" w:hAnsi="Arial" w:cs="Arial"/>
              </w:rPr>
              <w:t>o be eligible for the Multiyear</w:t>
            </w:r>
            <w:r w:rsidR="00242DE9">
              <w:rPr>
                <w:rFonts w:ascii="Arial" w:hAnsi="Arial" w:cs="Arial"/>
              </w:rPr>
              <w:t xml:space="preserve"> Kicker</w:t>
            </w:r>
            <w:r w:rsidRPr="00B758F9">
              <w:rPr>
                <w:rFonts w:ascii="Arial" w:hAnsi="Arial" w:cs="Arial"/>
              </w:rPr>
              <w:t xml:space="preserve">, discounts on multiyear deals must not exceed the standard discounts set forth in the price list.  If the discount is greater, the Multiyear </w:t>
            </w:r>
            <w:r w:rsidR="00242DE9">
              <w:rPr>
                <w:rFonts w:ascii="Arial" w:hAnsi="Arial" w:cs="Arial"/>
              </w:rPr>
              <w:t>Kicker</w:t>
            </w:r>
            <w:r w:rsidRPr="00B758F9">
              <w:rPr>
                <w:rFonts w:ascii="Arial" w:hAnsi="Arial" w:cs="Arial"/>
              </w:rPr>
              <w:t xml:space="preserve"> will NOT apply.</w:t>
            </w:r>
          </w:p>
        </w:tc>
      </w:tr>
      <w:tr w:rsidR="00E756EC" w:rsidRPr="00B758F9" w14:paraId="6EFA6A4A" w14:textId="77777777" w:rsidTr="00ED2654">
        <w:trPr>
          <w:trHeight w:val="530"/>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7FF9241" w14:textId="77777777" w:rsidR="00E756EC" w:rsidRPr="00B758F9" w:rsidRDefault="00E756EC" w:rsidP="00535EC7">
            <w:pPr>
              <w:keepNext/>
              <w:rPr>
                <w:rFonts w:ascii="Arial" w:hAnsi="Arial" w:cs="Arial"/>
              </w:rPr>
            </w:pPr>
            <w:r w:rsidRPr="00B758F9">
              <w:rPr>
                <w:rFonts w:ascii="Arial" w:hAnsi="Arial" w:cs="Arial"/>
              </w:rPr>
              <w:t>Quarterly Kicker</w:t>
            </w:r>
          </w:p>
        </w:tc>
        <w:tc>
          <w:tcPr>
            <w:tcW w:w="81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29A92B1" w14:textId="51FE49BE" w:rsidR="00E756EC" w:rsidRPr="00B758F9" w:rsidRDefault="00E756EC" w:rsidP="00535EC7">
            <w:pPr>
              <w:pStyle w:val="ListParagraph"/>
              <w:keepNext/>
              <w:ind w:left="0"/>
              <w:rPr>
                <w:rFonts w:ascii="Arial" w:hAnsi="Arial" w:cs="Arial"/>
              </w:rPr>
            </w:pPr>
            <w:r w:rsidRPr="00B758F9">
              <w:rPr>
                <w:rFonts w:ascii="Arial" w:hAnsi="Arial" w:cs="Arial"/>
              </w:rPr>
              <w:t>To recognize and reward Participants for achieving their quarterly quotas, Participants are eligible to receive Quarterly Kicker for each quarterly quota achieved.  The incentive payment is based on 20% of the Participant’s ICR multiplied by the</w:t>
            </w:r>
            <w:r w:rsidR="00242DE9">
              <w:rPr>
                <w:rFonts w:ascii="Arial" w:hAnsi="Arial" w:cs="Arial"/>
              </w:rPr>
              <w:t>ir</w:t>
            </w:r>
            <w:r w:rsidRPr="00B758F9">
              <w:rPr>
                <w:rFonts w:ascii="Arial" w:hAnsi="Arial" w:cs="Arial"/>
              </w:rPr>
              <w:t xml:space="preserve"> quarterly performance</w:t>
            </w:r>
            <w:r w:rsidR="00242DE9">
              <w:rPr>
                <w:rFonts w:ascii="Arial" w:hAnsi="Arial" w:cs="Arial"/>
              </w:rPr>
              <w:t>.</w:t>
            </w:r>
          </w:p>
        </w:tc>
      </w:tr>
    </w:tbl>
    <w:p w14:paraId="17CC787E" w14:textId="77777777" w:rsidR="00E756EC" w:rsidRPr="004E4286" w:rsidRDefault="00E756EC" w:rsidP="00E756EC">
      <w:pPr>
        <w:ind w:left="1080"/>
        <w:jc w:val="both"/>
        <w:rPr>
          <w:rFonts w:ascii="Arial" w:hAnsi="Arial" w:cs="Arial"/>
        </w:rPr>
      </w:pPr>
    </w:p>
    <w:p w14:paraId="1A374AEC" w14:textId="6B4F4B67" w:rsidR="00E756EC" w:rsidRPr="004E4286" w:rsidRDefault="00E756EC" w:rsidP="00E756EC">
      <w:pPr>
        <w:ind w:left="720"/>
        <w:jc w:val="both"/>
        <w:rPr>
          <w:rFonts w:ascii="Arial" w:hAnsi="Arial" w:cs="Arial"/>
        </w:rPr>
      </w:pPr>
      <w:r w:rsidRPr="004E4286">
        <w:rPr>
          <w:rFonts w:ascii="Arial" w:hAnsi="Arial" w:cs="Arial"/>
        </w:rPr>
        <w:t xml:space="preserve">Please see your plan document for more details on your target incentive component and how it is </w:t>
      </w:r>
      <w:r w:rsidR="00A34124">
        <w:rPr>
          <w:rFonts w:ascii="Arial" w:hAnsi="Arial" w:cs="Arial"/>
        </w:rPr>
        <w:t>calculated</w:t>
      </w:r>
      <w:r w:rsidRPr="004E4286">
        <w:rPr>
          <w:rFonts w:ascii="Arial" w:hAnsi="Arial" w:cs="Arial"/>
        </w:rPr>
        <w:t>.</w:t>
      </w:r>
    </w:p>
    <w:p w14:paraId="56420EB5" w14:textId="77777777" w:rsidR="00E756EC" w:rsidRPr="004E4286" w:rsidRDefault="00E756EC" w:rsidP="00E756EC">
      <w:pPr>
        <w:ind w:left="720"/>
        <w:jc w:val="both"/>
        <w:rPr>
          <w:rFonts w:ascii="Arial" w:hAnsi="Arial" w:cs="Arial"/>
        </w:rPr>
      </w:pPr>
    </w:p>
    <w:p w14:paraId="3F3B20D4" w14:textId="0F466B91" w:rsidR="00E756EC" w:rsidRPr="004E4286" w:rsidRDefault="00E756EC" w:rsidP="00324164">
      <w:pPr>
        <w:pStyle w:val="Heading2"/>
      </w:pPr>
      <w:bookmarkStart w:id="92" w:name="_Toc62554268"/>
      <w:bookmarkStart w:id="93" w:name="_Toc62556508"/>
      <w:bookmarkStart w:id="94" w:name="_Toc62554270"/>
      <w:bookmarkStart w:id="95" w:name="_Toc62556510"/>
      <w:bookmarkStart w:id="96" w:name="_Toc62554272"/>
      <w:bookmarkStart w:id="97" w:name="_Toc62556512"/>
      <w:bookmarkStart w:id="98" w:name="_Toc62554274"/>
      <w:bookmarkStart w:id="99" w:name="_Toc62556514"/>
      <w:bookmarkStart w:id="100" w:name="_Toc62554276"/>
      <w:bookmarkStart w:id="101" w:name="_Toc62556516"/>
      <w:bookmarkStart w:id="102" w:name="_Toc62554278"/>
      <w:bookmarkStart w:id="103" w:name="_Toc62556518"/>
      <w:bookmarkStart w:id="104" w:name="_Toc62554279"/>
      <w:bookmarkStart w:id="105" w:name="_Toc62556519"/>
      <w:bookmarkStart w:id="106" w:name="_Toc376861318"/>
      <w:bookmarkEnd w:id="92"/>
      <w:bookmarkEnd w:id="93"/>
      <w:bookmarkEnd w:id="94"/>
      <w:bookmarkEnd w:id="95"/>
      <w:bookmarkEnd w:id="96"/>
      <w:bookmarkEnd w:id="97"/>
      <w:bookmarkEnd w:id="98"/>
      <w:bookmarkEnd w:id="99"/>
      <w:bookmarkEnd w:id="100"/>
      <w:bookmarkEnd w:id="101"/>
      <w:bookmarkEnd w:id="102"/>
      <w:bookmarkEnd w:id="103"/>
      <w:bookmarkEnd w:id="104"/>
      <w:bookmarkEnd w:id="105"/>
      <w:r>
        <w:t xml:space="preserve">Earned </w:t>
      </w:r>
      <w:r w:rsidR="0026314A">
        <w:t>i</w:t>
      </w:r>
      <w:r>
        <w:t>ncentives</w:t>
      </w:r>
      <w:bookmarkEnd w:id="106"/>
    </w:p>
    <w:p w14:paraId="5A672E25" w14:textId="5053B947" w:rsidR="00E756EC" w:rsidRPr="0069086D" w:rsidRDefault="00E756EC" w:rsidP="00E756EC">
      <w:pPr>
        <w:pStyle w:val="BodyText2"/>
        <w:spacing w:after="0" w:line="240" w:lineRule="auto"/>
        <w:ind w:left="720"/>
        <w:jc w:val="both"/>
        <w:rPr>
          <w:rFonts w:ascii="Arial" w:hAnsi="Arial" w:cs="Arial"/>
        </w:rPr>
      </w:pPr>
      <w:r w:rsidRPr="0069086D">
        <w:rPr>
          <w:rFonts w:ascii="Arial" w:hAnsi="Arial" w:cs="Arial"/>
        </w:rPr>
        <w:t xml:space="preserve">Incentives are earned by the sales </w:t>
      </w:r>
      <w:r>
        <w:rPr>
          <w:rFonts w:ascii="Arial" w:hAnsi="Arial" w:cs="Arial"/>
        </w:rPr>
        <w:t>Participants</w:t>
      </w:r>
      <w:r w:rsidRPr="0069086D">
        <w:rPr>
          <w:rFonts w:ascii="Arial" w:hAnsi="Arial" w:cs="Arial"/>
        </w:rPr>
        <w:t xml:space="preserve"> for sales incentive purpose when the following </w:t>
      </w:r>
      <w:r w:rsidR="00103622">
        <w:rPr>
          <w:rFonts w:ascii="Arial" w:hAnsi="Arial" w:cs="Arial"/>
        </w:rPr>
        <w:t>four</w:t>
      </w:r>
      <w:r w:rsidRPr="0069086D">
        <w:rPr>
          <w:rFonts w:ascii="Arial" w:hAnsi="Arial" w:cs="Arial"/>
        </w:rPr>
        <w:t xml:space="preserve"> criteria are met:</w:t>
      </w:r>
    </w:p>
    <w:p w14:paraId="43622612" w14:textId="5716F6F3" w:rsidR="00E756EC" w:rsidRDefault="00E756EC" w:rsidP="00E756EC">
      <w:pPr>
        <w:numPr>
          <w:ilvl w:val="0"/>
          <w:numId w:val="21"/>
        </w:numPr>
        <w:tabs>
          <w:tab w:val="clear" w:pos="360"/>
        </w:tabs>
        <w:ind w:left="990" w:hanging="288"/>
        <w:jc w:val="both"/>
        <w:rPr>
          <w:rFonts w:ascii="Arial" w:hAnsi="Arial" w:cs="Arial"/>
        </w:rPr>
      </w:pPr>
      <w:r>
        <w:rPr>
          <w:rFonts w:ascii="Arial" w:hAnsi="Arial" w:cs="Arial"/>
        </w:rPr>
        <w:t xml:space="preserve">Opportunity is clearly documented with all appropriate information in </w:t>
      </w:r>
      <w:r w:rsidR="00245D06">
        <w:rPr>
          <w:rFonts w:ascii="Arial" w:hAnsi="Arial" w:cs="Arial"/>
        </w:rPr>
        <w:t xml:space="preserve">the </w:t>
      </w:r>
      <w:r w:rsidR="00103622">
        <w:rPr>
          <w:rFonts w:ascii="Arial" w:hAnsi="Arial" w:cs="Arial"/>
        </w:rPr>
        <w:t>CRM system</w:t>
      </w:r>
    </w:p>
    <w:p w14:paraId="275B5835" w14:textId="77777777" w:rsidR="00E756EC" w:rsidRPr="0069086D" w:rsidRDefault="00E756EC" w:rsidP="00E756EC">
      <w:pPr>
        <w:numPr>
          <w:ilvl w:val="0"/>
          <w:numId w:val="21"/>
        </w:numPr>
        <w:tabs>
          <w:tab w:val="clear" w:pos="360"/>
        </w:tabs>
        <w:ind w:left="990" w:hanging="288"/>
        <w:jc w:val="both"/>
        <w:rPr>
          <w:rFonts w:ascii="Arial" w:hAnsi="Arial" w:cs="Arial"/>
        </w:rPr>
      </w:pPr>
      <w:r>
        <w:rPr>
          <w:rFonts w:ascii="Arial" w:hAnsi="Arial" w:cs="Arial"/>
        </w:rPr>
        <w:t>Contract is signed</w:t>
      </w:r>
    </w:p>
    <w:p w14:paraId="7653B0A8" w14:textId="77777777" w:rsidR="00E756EC" w:rsidRPr="0069086D" w:rsidRDefault="00E756EC" w:rsidP="00E756EC">
      <w:pPr>
        <w:numPr>
          <w:ilvl w:val="0"/>
          <w:numId w:val="21"/>
        </w:numPr>
        <w:tabs>
          <w:tab w:val="clear" w:pos="360"/>
        </w:tabs>
        <w:ind w:left="990" w:hanging="288"/>
        <w:jc w:val="both"/>
        <w:rPr>
          <w:rFonts w:ascii="Arial" w:hAnsi="Arial" w:cs="Arial"/>
        </w:rPr>
      </w:pPr>
      <w:r w:rsidRPr="0069086D">
        <w:rPr>
          <w:rFonts w:ascii="Arial" w:hAnsi="Arial" w:cs="Arial"/>
        </w:rPr>
        <w:t>Delivery of the ordered product or service has occurred and been accepted by the customer and the risks and benefits of ownership must have pass</w:t>
      </w:r>
      <w:r>
        <w:rPr>
          <w:rFonts w:ascii="Arial" w:hAnsi="Arial" w:cs="Arial"/>
        </w:rPr>
        <w:t>ed from Company to the customer</w:t>
      </w:r>
    </w:p>
    <w:p w14:paraId="03AD2135" w14:textId="2DC28BBD" w:rsidR="00E756EC" w:rsidRPr="0069086D" w:rsidRDefault="00E756EC" w:rsidP="00E756EC">
      <w:pPr>
        <w:numPr>
          <w:ilvl w:val="0"/>
          <w:numId w:val="21"/>
        </w:numPr>
        <w:tabs>
          <w:tab w:val="clear" w:pos="360"/>
        </w:tabs>
        <w:ind w:left="990" w:hanging="288"/>
        <w:jc w:val="both"/>
        <w:rPr>
          <w:rFonts w:ascii="Arial" w:hAnsi="Arial" w:cs="Arial"/>
        </w:rPr>
      </w:pPr>
      <w:r w:rsidRPr="0069086D">
        <w:rPr>
          <w:rFonts w:ascii="Arial" w:hAnsi="Arial" w:cs="Arial"/>
        </w:rPr>
        <w:t>All accounts receivable ha</w:t>
      </w:r>
      <w:r w:rsidR="00103622">
        <w:rPr>
          <w:rFonts w:ascii="Arial" w:hAnsi="Arial" w:cs="Arial"/>
        </w:rPr>
        <w:t>ve</w:t>
      </w:r>
      <w:r w:rsidRPr="0069086D">
        <w:rPr>
          <w:rFonts w:ascii="Arial" w:hAnsi="Arial" w:cs="Arial"/>
        </w:rPr>
        <w:t xml:space="preserve"> been collected</w:t>
      </w:r>
    </w:p>
    <w:p w14:paraId="23DFB19E" w14:textId="77777777" w:rsidR="00E756EC" w:rsidRDefault="00E756EC" w:rsidP="00E756EC">
      <w:pPr>
        <w:ind w:left="720"/>
        <w:jc w:val="both"/>
        <w:rPr>
          <w:rFonts w:ascii="Arial" w:hAnsi="Arial" w:cs="Arial"/>
        </w:rPr>
      </w:pPr>
    </w:p>
    <w:p w14:paraId="57ADB930" w14:textId="0CE2C4B9" w:rsidR="00E756EC" w:rsidRDefault="00E756EC" w:rsidP="00E756EC">
      <w:pPr>
        <w:ind w:left="720"/>
        <w:jc w:val="both"/>
        <w:rPr>
          <w:rFonts w:ascii="Arial" w:hAnsi="Arial" w:cs="Arial"/>
        </w:rPr>
      </w:pPr>
      <w:r w:rsidRPr="0069086D">
        <w:rPr>
          <w:rFonts w:ascii="Arial" w:hAnsi="Arial" w:cs="Arial"/>
        </w:rPr>
        <w:t xml:space="preserve">Participants may receive an incentive payment based on performance measures </w:t>
      </w:r>
      <w:r>
        <w:rPr>
          <w:rFonts w:ascii="Arial" w:hAnsi="Arial" w:cs="Arial"/>
        </w:rPr>
        <w:t>in their plan</w:t>
      </w:r>
      <w:r w:rsidRPr="004E4286">
        <w:rPr>
          <w:rFonts w:ascii="Arial" w:hAnsi="Arial" w:cs="Arial"/>
        </w:rPr>
        <w:t xml:space="preserve"> (as defined </w:t>
      </w:r>
      <w:r>
        <w:rPr>
          <w:rFonts w:ascii="Arial" w:hAnsi="Arial" w:cs="Arial"/>
        </w:rPr>
        <w:t>above</w:t>
      </w:r>
      <w:r w:rsidRPr="004E4286">
        <w:rPr>
          <w:rFonts w:ascii="Arial" w:hAnsi="Arial" w:cs="Arial"/>
        </w:rPr>
        <w:t xml:space="preserve">) </w:t>
      </w:r>
      <w:r w:rsidRPr="00C74A77">
        <w:rPr>
          <w:rFonts w:ascii="Arial" w:hAnsi="Arial" w:cs="Arial"/>
        </w:rPr>
        <w:t xml:space="preserve">even though such </w:t>
      </w:r>
      <w:r w:rsidR="006D0603">
        <w:rPr>
          <w:rFonts w:ascii="Arial" w:hAnsi="Arial" w:cs="Arial"/>
        </w:rPr>
        <w:t>i</w:t>
      </w:r>
      <w:r w:rsidRPr="00C74A77">
        <w:rPr>
          <w:rFonts w:ascii="Arial" w:hAnsi="Arial" w:cs="Arial"/>
        </w:rPr>
        <w:t xml:space="preserve">ncentive </w:t>
      </w:r>
      <w:r w:rsidR="006D0603">
        <w:rPr>
          <w:rFonts w:ascii="Arial" w:hAnsi="Arial" w:cs="Arial"/>
        </w:rPr>
        <w:t>p</w:t>
      </w:r>
      <w:r w:rsidRPr="00C74A77">
        <w:rPr>
          <w:rFonts w:ascii="Arial" w:hAnsi="Arial" w:cs="Arial"/>
        </w:rPr>
        <w:t>ayment may not yet be “earned” (in whole or in part). If any deals are canceled</w:t>
      </w:r>
      <w:r w:rsidR="006D0603">
        <w:rPr>
          <w:rFonts w:ascii="Arial" w:hAnsi="Arial" w:cs="Arial"/>
        </w:rPr>
        <w:t xml:space="preserve"> or</w:t>
      </w:r>
      <w:r w:rsidRPr="00C74A77">
        <w:rPr>
          <w:rFonts w:ascii="Arial" w:hAnsi="Arial" w:cs="Arial"/>
        </w:rPr>
        <w:t xml:space="preserve"> returned</w:t>
      </w:r>
      <w:r w:rsidR="006D0603">
        <w:rPr>
          <w:rFonts w:ascii="Arial" w:hAnsi="Arial" w:cs="Arial"/>
        </w:rPr>
        <w:t>,</w:t>
      </w:r>
      <w:r w:rsidRPr="00C74A77">
        <w:rPr>
          <w:rFonts w:ascii="Arial" w:hAnsi="Arial" w:cs="Arial"/>
        </w:rPr>
        <w:t xml:space="preserve"> or</w:t>
      </w:r>
      <w:r w:rsidR="006D0603">
        <w:rPr>
          <w:rFonts w:ascii="Arial" w:hAnsi="Arial" w:cs="Arial"/>
        </w:rPr>
        <w:t xml:space="preserve"> if deal</w:t>
      </w:r>
      <w:r w:rsidRPr="00C74A77">
        <w:rPr>
          <w:rFonts w:ascii="Arial" w:hAnsi="Arial" w:cs="Arial"/>
        </w:rPr>
        <w:t xml:space="preserve"> payments </w:t>
      </w:r>
      <w:r w:rsidR="006D0603">
        <w:rPr>
          <w:rFonts w:ascii="Arial" w:hAnsi="Arial" w:cs="Arial"/>
        </w:rPr>
        <w:t xml:space="preserve">are </w:t>
      </w:r>
      <w:r w:rsidRPr="00C74A77">
        <w:rPr>
          <w:rFonts w:ascii="Arial" w:hAnsi="Arial" w:cs="Arial"/>
        </w:rPr>
        <w:t xml:space="preserve">not made within </w:t>
      </w:r>
      <w:r w:rsidR="006D0603" w:rsidRPr="006D0603">
        <w:rPr>
          <w:rFonts w:ascii="Arial" w:hAnsi="Arial" w:cs="Arial"/>
          <w:highlight w:val="yellow"/>
        </w:rPr>
        <w:t>XX</w:t>
      </w:r>
      <w:r w:rsidRPr="006D0603">
        <w:rPr>
          <w:rFonts w:ascii="Arial" w:hAnsi="Arial" w:cs="Arial"/>
          <w:highlight w:val="yellow"/>
        </w:rPr>
        <w:t xml:space="preserve"> days</w:t>
      </w:r>
      <w:r w:rsidRPr="00C74A77">
        <w:rPr>
          <w:rFonts w:ascii="Arial" w:hAnsi="Arial" w:cs="Arial"/>
        </w:rPr>
        <w:t xml:space="preserve"> of </w:t>
      </w:r>
      <w:r w:rsidR="006D0603">
        <w:rPr>
          <w:rFonts w:ascii="Arial" w:hAnsi="Arial" w:cs="Arial"/>
        </w:rPr>
        <w:t xml:space="preserve">the </w:t>
      </w:r>
      <w:r w:rsidRPr="00C74A77">
        <w:rPr>
          <w:rFonts w:ascii="Arial" w:hAnsi="Arial" w:cs="Arial"/>
        </w:rPr>
        <w:t>invoice, the booking credit will be de-booked against future bookings.</w:t>
      </w:r>
    </w:p>
    <w:p w14:paraId="3EA64885" w14:textId="77777777" w:rsidR="00E756EC" w:rsidRPr="004E4286" w:rsidRDefault="00E756EC" w:rsidP="00E756EC">
      <w:pPr>
        <w:pStyle w:val="BodyText2"/>
        <w:spacing w:after="0" w:line="240" w:lineRule="auto"/>
        <w:ind w:left="720"/>
        <w:jc w:val="both"/>
        <w:rPr>
          <w:rFonts w:ascii="Arial" w:hAnsi="Arial" w:cs="Arial"/>
        </w:rPr>
      </w:pPr>
    </w:p>
    <w:p w14:paraId="0C38E73E" w14:textId="416D474C" w:rsidR="00E756EC" w:rsidRPr="004E4286" w:rsidRDefault="00E756EC" w:rsidP="00324164">
      <w:pPr>
        <w:pStyle w:val="Heading2"/>
        <w:rPr>
          <w:bCs/>
        </w:rPr>
      </w:pPr>
      <w:bookmarkStart w:id="107" w:name="_Toc376861319"/>
      <w:bookmarkStart w:id="108" w:name="_Toc71008816"/>
      <w:bookmarkStart w:id="109" w:name="_Toc66527487"/>
      <w:r w:rsidRPr="004E4286">
        <w:t xml:space="preserve">Split </w:t>
      </w:r>
      <w:r w:rsidR="0026314A">
        <w:t>p</w:t>
      </w:r>
      <w:r w:rsidRPr="004E4286">
        <w:t>olicies</w:t>
      </w:r>
      <w:bookmarkEnd w:id="107"/>
    </w:p>
    <w:p w14:paraId="7E0BEF97" w14:textId="4FB10EB5" w:rsidR="00E756EC" w:rsidRPr="004E4286" w:rsidRDefault="00E756EC" w:rsidP="00E756EC">
      <w:pPr>
        <w:pStyle w:val="BodyText3"/>
        <w:spacing w:after="0"/>
        <w:ind w:left="720"/>
        <w:rPr>
          <w:rFonts w:ascii="Arial" w:hAnsi="Arial" w:cs="Arial"/>
          <w:sz w:val="20"/>
          <w:szCs w:val="20"/>
        </w:rPr>
      </w:pPr>
      <w:r w:rsidRPr="005D3EA0">
        <w:rPr>
          <w:rFonts w:ascii="Arial" w:hAnsi="Arial" w:cs="Arial"/>
          <w:sz w:val="20"/>
          <w:szCs w:val="20"/>
        </w:rPr>
        <w:t>If management deems it necessary to have two Participan</w:t>
      </w:r>
      <w:r>
        <w:rPr>
          <w:rFonts w:ascii="Arial" w:hAnsi="Arial" w:cs="Arial"/>
          <w:sz w:val="20"/>
          <w:szCs w:val="20"/>
        </w:rPr>
        <w:t xml:space="preserve">ts co-work on a deal together, </w:t>
      </w:r>
      <w:r w:rsidRPr="005D3EA0">
        <w:rPr>
          <w:rFonts w:ascii="Arial" w:hAnsi="Arial" w:cs="Arial"/>
          <w:sz w:val="20"/>
          <w:szCs w:val="20"/>
        </w:rPr>
        <w:t>management will determine a fair split credit based on each person’s level of persuasion and activities required to close the deal.  All split credits must be documented</w:t>
      </w:r>
      <w:r>
        <w:rPr>
          <w:rFonts w:ascii="Arial" w:hAnsi="Arial" w:cs="Arial"/>
          <w:sz w:val="20"/>
          <w:szCs w:val="20"/>
        </w:rPr>
        <w:t xml:space="preserve"> in </w:t>
      </w:r>
      <w:r w:rsidR="00245D06">
        <w:rPr>
          <w:rFonts w:ascii="Arial" w:hAnsi="Arial" w:cs="Arial"/>
          <w:sz w:val="20"/>
          <w:szCs w:val="20"/>
        </w:rPr>
        <w:t>the CRM system</w:t>
      </w:r>
      <w:r>
        <w:rPr>
          <w:rFonts w:ascii="Arial" w:hAnsi="Arial" w:cs="Arial"/>
          <w:sz w:val="20"/>
          <w:szCs w:val="20"/>
        </w:rPr>
        <w:t xml:space="preserve"> prior to deal close</w:t>
      </w:r>
      <w:r w:rsidRPr="004E4286">
        <w:rPr>
          <w:rFonts w:ascii="Arial" w:hAnsi="Arial" w:cs="Arial"/>
          <w:sz w:val="20"/>
          <w:szCs w:val="20"/>
        </w:rPr>
        <w:t xml:space="preserve">. </w:t>
      </w:r>
    </w:p>
    <w:p w14:paraId="2AF36B4B" w14:textId="77777777" w:rsidR="00E756EC" w:rsidRDefault="00E756EC" w:rsidP="00245D06">
      <w:pPr>
        <w:pStyle w:val="Heading2"/>
        <w:numPr>
          <w:ilvl w:val="0"/>
          <w:numId w:val="0"/>
        </w:numPr>
        <w:ind w:left="720"/>
      </w:pPr>
    </w:p>
    <w:p w14:paraId="5767E440" w14:textId="2E421581" w:rsidR="00E756EC" w:rsidRPr="00EC07DF" w:rsidRDefault="00E756EC" w:rsidP="00324164">
      <w:pPr>
        <w:pStyle w:val="Heading2"/>
      </w:pPr>
      <w:bookmarkStart w:id="110" w:name="_Toc376861320"/>
      <w:bookmarkEnd w:id="108"/>
      <w:bookmarkEnd w:id="109"/>
      <w:r w:rsidRPr="004E4286">
        <w:t xml:space="preserve">Windfall </w:t>
      </w:r>
      <w:r w:rsidR="0026314A">
        <w:t>p</w:t>
      </w:r>
      <w:r w:rsidRPr="004E4286">
        <w:t>olicy</w:t>
      </w:r>
      <w:bookmarkEnd w:id="110"/>
    </w:p>
    <w:p w14:paraId="47AC5A72" w14:textId="1513282F" w:rsidR="00E756EC" w:rsidRPr="004E4286" w:rsidRDefault="00E756EC" w:rsidP="00E756EC">
      <w:pPr>
        <w:ind w:left="720"/>
        <w:jc w:val="both"/>
        <w:rPr>
          <w:rFonts w:ascii="Arial" w:hAnsi="Arial" w:cs="Arial"/>
        </w:rPr>
      </w:pPr>
      <w:r w:rsidRPr="00EC07DF">
        <w:rPr>
          <w:rFonts w:ascii="Arial" w:hAnsi="Arial" w:cs="Arial"/>
        </w:rPr>
        <w:t>The sales incentive program is based on management’s ability to accurately forecast and set realistic stretch quotas to recognize and reward the Participant’s performance.  From time to time</w:t>
      </w:r>
      <w:r w:rsidR="00735800">
        <w:rPr>
          <w:rFonts w:ascii="Arial" w:hAnsi="Arial" w:cs="Arial"/>
        </w:rPr>
        <w:t>,</w:t>
      </w:r>
      <w:r w:rsidRPr="00EC07DF">
        <w:rPr>
          <w:rFonts w:ascii="Arial" w:hAnsi="Arial" w:cs="Arial"/>
        </w:rPr>
        <w:t xml:space="preserve"> situations occur </w:t>
      </w:r>
      <w:r w:rsidR="00735800">
        <w:rPr>
          <w:rFonts w:ascii="Arial" w:hAnsi="Arial" w:cs="Arial"/>
        </w:rPr>
        <w:t>in which</w:t>
      </w:r>
      <w:r w:rsidRPr="00EC07DF">
        <w:rPr>
          <w:rFonts w:ascii="Arial" w:hAnsi="Arial" w:cs="Arial"/>
        </w:rPr>
        <w:t xml:space="preserve"> a Participant closes a</w:t>
      </w:r>
      <w:r w:rsidR="00A82135">
        <w:rPr>
          <w:rFonts w:ascii="Arial" w:hAnsi="Arial" w:cs="Arial"/>
        </w:rPr>
        <w:t xml:space="preserve"> large, u</w:t>
      </w:r>
      <w:r w:rsidRPr="00EC07DF">
        <w:rPr>
          <w:rFonts w:ascii="Arial" w:hAnsi="Arial" w:cs="Arial"/>
        </w:rPr>
        <w:t xml:space="preserve">n-forecasted deal or a deal where the Participant had no or very limited </w:t>
      </w:r>
      <w:r w:rsidR="002C6019">
        <w:rPr>
          <w:rFonts w:ascii="Arial" w:hAnsi="Arial" w:cs="Arial"/>
        </w:rPr>
        <w:t>influence</w:t>
      </w:r>
      <w:r w:rsidRPr="00EC07DF">
        <w:rPr>
          <w:rFonts w:ascii="Arial" w:hAnsi="Arial" w:cs="Arial"/>
        </w:rPr>
        <w:t>.  To account for these unexpected scenarios</w:t>
      </w:r>
      <w:r w:rsidR="00A82135">
        <w:rPr>
          <w:rFonts w:ascii="Arial" w:hAnsi="Arial" w:cs="Arial"/>
        </w:rPr>
        <w:t>,</w:t>
      </w:r>
      <w:r w:rsidRPr="00EC07DF">
        <w:rPr>
          <w:rFonts w:ascii="Arial" w:hAnsi="Arial" w:cs="Arial"/>
        </w:rPr>
        <w:t xml:space="preserve"> </w:t>
      </w:r>
      <w:r w:rsidR="00A82135">
        <w:rPr>
          <w:rFonts w:ascii="Arial" w:hAnsi="Arial" w:cs="Arial"/>
        </w:rPr>
        <w:t>t</w:t>
      </w:r>
      <w:r w:rsidRPr="00EC07DF">
        <w:rPr>
          <w:rFonts w:ascii="Arial" w:hAnsi="Arial" w:cs="Arial"/>
        </w:rPr>
        <w:t xml:space="preserve">he </w:t>
      </w:r>
      <w:r w:rsidR="00A82135" w:rsidRPr="00A82135">
        <w:rPr>
          <w:rFonts w:ascii="Arial" w:hAnsi="Arial" w:cs="Arial"/>
          <w:highlight w:val="yellow"/>
        </w:rPr>
        <w:t>&lt;</w:t>
      </w:r>
      <w:r w:rsidRPr="00A82135">
        <w:rPr>
          <w:rFonts w:ascii="Arial" w:hAnsi="Arial" w:cs="Arial"/>
          <w:highlight w:val="yellow"/>
        </w:rPr>
        <w:t>Head of Sales</w:t>
      </w:r>
      <w:r w:rsidR="00A82135" w:rsidRPr="00A82135">
        <w:rPr>
          <w:rFonts w:ascii="Arial" w:hAnsi="Arial" w:cs="Arial"/>
          <w:highlight w:val="yellow"/>
        </w:rPr>
        <w:t>&gt;</w:t>
      </w:r>
      <w:r w:rsidRPr="00EC07DF">
        <w:rPr>
          <w:rFonts w:ascii="Arial" w:hAnsi="Arial" w:cs="Arial"/>
        </w:rPr>
        <w:t xml:space="preserve"> will determine the amount of the incentive payable with respect to any such transaction based on the level of the Participant’s influence in the transaction.  Options for determining such amount</w:t>
      </w:r>
      <w:r w:rsidR="00F26369">
        <w:rPr>
          <w:rFonts w:ascii="Arial" w:hAnsi="Arial" w:cs="Arial"/>
        </w:rPr>
        <w:t>s</w:t>
      </w:r>
      <w:r w:rsidRPr="00EC07DF">
        <w:rPr>
          <w:rFonts w:ascii="Arial" w:hAnsi="Arial" w:cs="Arial"/>
        </w:rPr>
        <w:t xml:space="preserve"> </w:t>
      </w:r>
      <w:r w:rsidR="00B616C6" w:rsidRPr="00EC07DF">
        <w:rPr>
          <w:rFonts w:ascii="Arial" w:hAnsi="Arial" w:cs="Arial"/>
        </w:rPr>
        <w:t>include but</w:t>
      </w:r>
      <w:r w:rsidRPr="00EC07DF">
        <w:rPr>
          <w:rFonts w:ascii="Arial" w:hAnsi="Arial" w:cs="Arial"/>
        </w:rPr>
        <w:t xml:space="preserve"> are not limited </w:t>
      </w:r>
      <w:proofErr w:type="gramStart"/>
      <w:r w:rsidRPr="00EC07DF">
        <w:rPr>
          <w:rFonts w:ascii="Arial" w:hAnsi="Arial" w:cs="Arial"/>
        </w:rPr>
        <w:t>to:</w:t>
      </w:r>
      <w:proofErr w:type="gramEnd"/>
      <w:r w:rsidRPr="00EC07DF">
        <w:rPr>
          <w:rFonts w:ascii="Arial" w:hAnsi="Arial" w:cs="Arial"/>
        </w:rPr>
        <w:t xml:space="preserve"> full quota credit with no quota adjustment, full quota credit with a quota adjustment</w:t>
      </w:r>
      <w:r w:rsidR="00F26369">
        <w:rPr>
          <w:rFonts w:ascii="Arial" w:hAnsi="Arial" w:cs="Arial"/>
        </w:rPr>
        <w:t>,</w:t>
      </w:r>
      <w:r w:rsidRPr="00EC07DF">
        <w:rPr>
          <w:rFonts w:ascii="Arial" w:hAnsi="Arial" w:cs="Arial"/>
        </w:rPr>
        <w:t xml:space="preserve"> or a separate payout.</w:t>
      </w:r>
    </w:p>
    <w:p w14:paraId="3A16902C" w14:textId="77777777" w:rsidR="00E756EC" w:rsidRDefault="00E756EC" w:rsidP="00E756EC">
      <w:pPr>
        <w:pStyle w:val="BodyText3"/>
        <w:spacing w:after="0"/>
        <w:ind w:left="720"/>
        <w:jc w:val="both"/>
        <w:rPr>
          <w:rFonts w:ascii="Arial" w:hAnsi="Arial" w:cs="Arial"/>
          <w:sz w:val="20"/>
          <w:szCs w:val="20"/>
        </w:rPr>
      </w:pPr>
    </w:p>
    <w:p w14:paraId="0EA5A9C6" w14:textId="4BC1C0C9" w:rsidR="00E756EC" w:rsidRPr="004E4286" w:rsidRDefault="00E756EC" w:rsidP="00324164">
      <w:pPr>
        <w:pStyle w:val="Heading2"/>
      </w:pPr>
      <w:bookmarkStart w:id="111" w:name="_Toc376861321"/>
      <w:r w:rsidRPr="004E4286">
        <w:t xml:space="preserve">Proration </w:t>
      </w:r>
      <w:r w:rsidR="0026314A">
        <w:t>p</w:t>
      </w:r>
      <w:r w:rsidRPr="004E4286">
        <w:t>olicy</w:t>
      </w:r>
      <w:bookmarkEnd w:id="111"/>
    </w:p>
    <w:p w14:paraId="046ED6D7" w14:textId="630DBA6E" w:rsidR="00E756EC" w:rsidRDefault="00E756EC" w:rsidP="00E756EC">
      <w:pPr>
        <w:ind w:left="720"/>
        <w:jc w:val="both"/>
        <w:rPr>
          <w:rFonts w:ascii="Arial" w:hAnsi="Arial" w:cs="Arial"/>
        </w:rPr>
      </w:pPr>
      <w:r w:rsidRPr="004E4286">
        <w:rPr>
          <w:rFonts w:ascii="Arial" w:hAnsi="Arial" w:cs="Arial"/>
        </w:rPr>
        <w:t xml:space="preserve">In </w:t>
      </w:r>
      <w:r w:rsidR="002B65BA">
        <w:rPr>
          <w:rFonts w:ascii="Arial" w:hAnsi="Arial" w:cs="Arial"/>
        </w:rPr>
        <w:t>instances in which</w:t>
      </w:r>
      <w:r w:rsidRPr="004E4286">
        <w:rPr>
          <w:rFonts w:ascii="Arial" w:hAnsi="Arial" w:cs="Arial"/>
        </w:rPr>
        <w:t xml:space="preserve"> an individual does not have a full quarter’s target incentive or the target incentive amount changes within a </w:t>
      </w:r>
      <w:r w:rsidR="00730E6D">
        <w:rPr>
          <w:rFonts w:ascii="Arial" w:hAnsi="Arial" w:cs="Arial"/>
        </w:rPr>
        <w:t>quarter</w:t>
      </w:r>
      <w:r w:rsidRPr="004E4286">
        <w:rPr>
          <w:rFonts w:ascii="Arial" w:hAnsi="Arial" w:cs="Arial"/>
        </w:rPr>
        <w:t>, Company will prorate the incentive amount based on the amount of calendar days in the qu</w:t>
      </w:r>
      <w:r>
        <w:rPr>
          <w:rFonts w:ascii="Arial" w:hAnsi="Arial" w:cs="Arial"/>
        </w:rPr>
        <w:t xml:space="preserve">arter. </w:t>
      </w:r>
    </w:p>
    <w:p w14:paraId="2B34BBA4" w14:textId="77777777" w:rsidR="00E756EC" w:rsidRPr="004E4286" w:rsidRDefault="00E756EC" w:rsidP="00E756EC">
      <w:pPr>
        <w:pStyle w:val="BodyText3"/>
        <w:spacing w:after="0"/>
        <w:jc w:val="both"/>
        <w:rPr>
          <w:rFonts w:ascii="Arial" w:hAnsi="Arial" w:cs="Arial"/>
          <w:sz w:val="20"/>
          <w:szCs w:val="20"/>
        </w:rPr>
      </w:pPr>
    </w:p>
    <w:p w14:paraId="210F4BA3" w14:textId="28B05A77" w:rsidR="00E756EC" w:rsidRPr="00324164" w:rsidRDefault="00E756EC" w:rsidP="00DE2299">
      <w:pPr>
        <w:pStyle w:val="Heading4"/>
        <w:numPr>
          <w:ilvl w:val="0"/>
          <w:numId w:val="45"/>
        </w:numPr>
        <w:ind w:left="360"/>
        <w:rPr>
          <w:color w:val="235043"/>
        </w:rPr>
      </w:pPr>
      <w:bookmarkStart w:id="112" w:name="_Toc4265296"/>
      <w:bookmarkStart w:id="113" w:name="_Toc4424909"/>
      <w:bookmarkStart w:id="114" w:name="_Toc4513280"/>
      <w:bookmarkStart w:id="115" w:name="_Toc4515924"/>
      <w:bookmarkStart w:id="116" w:name="_Toc4845667"/>
      <w:bookmarkStart w:id="117" w:name="_Toc376861322"/>
      <w:r w:rsidRPr="00324164">
        <w:rPr>
          <w:color w:val="235043"/>
        </w:rPr>
        <w:lastRenderedPageBreak/>
        <w:t>Employment</w:t>
      </w:r>
      <w:r w:rsidR="004C1432">
        <w:rPr>
          <w:color w:val="235043"/>
        </w:rPr>
        <w:t xml:space="preserve"> c</w:t>
      </w:r>
      <w:r w:rsidRPr="00324164">
        <w:rPr>
          <w:color w:val="235043"/>
        </w:rPr>
        <w:t>hanges</w:t>
      </w:r>
      <w:bookmarkEnd w:id="112"/>
      <w:bookmarkEnd w:id="113"/>
      <w:bookmarkEnd w:id="114"/>
      <w:bookmarkEnd w:id="115"/>
      <w:bookmarkEnd w:id="116"/>
      <w:bookmarkEnd w:id="117"/>
    </w:p>
    <w:p w14:paraId="62D56383" w14:textId="2527A41A" w:rsidR="00E756EC" w:rsidRPr="004E4286" w:rsidRDefault="00E756EC" w:rsidP="00324164">
      <w:pPr>
        <w:pStyle w:val="Heading2"/>
      </w:pPr>
      <w:bookmarkStart w:id="118" w:name="_Toc4265298"/>
      <w:bookmarkStart w:id="119" w:name="_Toc4424911"/>
      <w:bookmarkStart w:id="120" w:name="_Toc4513282"/>
      <w:bookmarkStart w:id="121" w:name="_Toc4515926"/>
      <w:bookmarkStart w:id="122" w:name="_Toc4845669"/>
      <w:bookmarkStart w:id="123" w:name="_Toc376861323"/>
      <w:bookmarkStart w:id="124" w:name="_Toc4265297"/>
      <w:bookmarkStart w:id="125" w:name="_Toc4424910"/>
      <w:bookmarkStart w:id="126" w:name="_Toc4513281"/>
      <w:bookmarkStart w:id="127" w:name="_Toc4515925"/>
      <w:bookmarkStart w:id="128" w:name="_Toc4845668"/>
      <w:r w:rsidRPr="004E4286">
        <w:t xml:space="preserve">New </w:t>
      </w:r>
      <w:r w:rsidR="004C1432">
        <w:t>h</w:t>
      </w:r>
      <w:r w:rsidRPr="004E4286">
        <w:t>ires</w:t>
      </w:r>
      <w:bookmarkEnd w:id="118"/>
      <w:bookmarkEnd w:id="119"/>
      <w:bookmarkEnd w:id="120"/>
      <w:bookmarkEnd w:id="121"/>
      <w:bookmarkEnd w:id="122"/>
      <w:r w:rsidRPr="004E4286">
        <w:t>/</w:t>
      </w:r>
      <w:r w:rsidR="004C1432">
        <w:t>t</w:t>
      </w:r>
      <w:r w:rsidRPr="004E4286">
        <w:t xml:space="preserve">ransfers </w:t>
      </w:r>
      <w:r w:rsidR="004C1432">
        <w:t>i</w:t>
      </w:r>
      <w:r w:rsidR="00B616C6" w:rsidRPr="004E4286">
        <w:t>nto</w:t>
      </w:r>
      <w:r w:rsidRPr="004E4286">
        <w:t xml:space="preserve"> </w:t>
      </w:r>
      <w:r w:rsidR="00525CB9">
        <w:t>s</w:t>
      </w:r>
      <w:r w:rsidRPr="004E4286">
        <w:t>ales</w:t>
      </w:r>
      <w:bookmarkEnd w:id="123"/>
    </w:p>
    <w:p w14:paraId="2F577461" w14:textId="7DE6BFFB" w:rsidR="00E756EC" w:rsidRPr="00821D6B" w:rsidRDefault="00E756EC" w:rsidP="00E756EC">
      <w:pPr>
        <w:pStyle w:val="BodyText2"/>
        <w:spacing w:after="0" w:line="240" w:lineRule="auto"/>
        <w:ind w:left="720"/>
        <w:jc w:val="both"/>
        <w:rPr>
          <w:rFonts w:ascii="Arial" w:hAnsi="Arial" w:cs="Arial"/>
        </w:rPr>
      </w:pPr>
      <w:r w:rsidRPr="00AF2C46">
        <w:rPr>
          <w:rFonts w:ascii="Arial" w:hAnsi="Arial" w:cs="Arial"/>
        </w:rPr>
        <w:t xml:space="preserve">New Company employees hired during the year or employees transferring into a commissionable job after the fiscal year has begun </w:t>
      </w:r>
      <w:r w:rsidRPr="00095C92">
        <w:rPr>
          <w:rFonts w:ascii="Arial" w:hAnsi="Arial" w:cs="Arial"/>
        </w:rPr>
        <w:t>may be</w:t>
      </w:r>
      <w:r w:rsidRPr="00AF2C46">
        <w:rPr>
          <w:rFonts w:ascii="Arial" w:hAnsi="Arial" w:cs="Arial"/>
        </w:rPr>
        <w:t xml:space="preserve"> eligible for a</w:t>
      </w:r>
      <w:r>
        <w:rPr>
          <w:rFonts w:ascii="Arial" w:hAnsi="Arial" w:cs="Arial"/>
        </w:rPr>
        <w:t xml:space="preserve"> </w:t>
      </w:r>
      <w:r w:rsidR="00971ED5">
        <w:rPr>
          <w:rFonts w:ascii="Arial" w:hAnsi="Arial" w:cs="Arial"/>
        </w:rPr>
        <w:t>non-</w:t>
      </w:r>
      <w:r>
        <w:rPr>
          <w:rFonts w:ascii="Arial" w:hAnsi="Arial" w:cs="Arial"/>
        </w:rPr>
        <w:t>recoverable draw</w:t>
      </w:r>
      <w:r w:rsidRPr="00AF2C46">
        <w:rPr>
          <w:rFonts w:ascii="Arial" w:hAnsi="Arial" w:cs="Arial"/>
        </w:rPr>
        <w:t xml:space="preserve"> </w:t>
      </w:r>
      <w:r w:rsidR="008F4AE0">
        <w:rPr>
          <w:rFonts w:ascii="Arial" w:hAnsi="Arial" w:cs="Arial"/>
        </w:rPr>
        <w:t xml:space="preserve">of </w:t>
      </w:r>
      <w:r>
        <w:rPr>
          <w:rFonts w:ascii="Arial" w:hAnsi="Arial" w:cs="Arial"/>
        </w:rPr>
        <w:t xml:space="preserve">up to 100% of their monthly target incentive for </w:t>
      </w:r>
      <w:r w:rsidRPr="00AF2C46">
        <w:rPr>
          <w:rFonts w:ascii="Arial" w:hAnsi="Arial" w:cs="Arial"/>
        </w:rPr>
        <w:t xml:space="preserve">up to three months based on management </w:t>
      </w:r>
      <w:r w:rsidR="008F4AE0">
        <w:rPr>
          <w:rFonts w:ascii="Arial" w:hAnsi="Arial" w:cs="Arial"/>
        </w:rPr>
        <w:t>discretion</w:t>
      </w:r>
      <w:r w:rsidRPr="00AF2C46">
        <w:rPr>
          <w:rFonts w:ascii="Arial" w:hAnsi="Arial" w:cs="Arial"/>
        </w:rPr>
        <w:t>.  The period may be increased or decreased so that a Participant’s sales compensation plan start date corresponds to the beginning of a quarter.</w:t>
      </w:r>
      <w:r>
        <w:rPr>
          <w:rFonts w:ascii="Arial" w:hAnsi="Arial" w:cs="Arial"/>
        </w:rPr>
        <w:t xml:space="preserve"> </w:t>
      </w:r>
      <w:r w:rsidRPr="00AF2C46">
        <w:rPr>
          <w:rFonts w:ascii="Arial" w:hAnsi="Arial" w:cs="Arial"/>
        </w:rPr>
        <w:t xml:space="preserve"> If the Participant’s sales compensation plan start date does not correspond to the beginning of the quarter, </w:t>
      </w:r>
      <w:r w:rsidR="00B616C6" w:rsidRPr="00AF2C46">
        <w:rPr>
          <w:rFonts w:ascii="Arial" w:hAnsi="Arial" w:cs="Arial"/>
        </w:rPr>
        <w:t>then</w:t>
      </w:r>
      <w:r w:rsidRPr="00AF2C46">
        <w:rPr>
          <w:rFonts w:ascii="Arial" w:hAnsi="Arial" w:cs="Arial"/>
        </w:rPr>
        <w:t xml:space="preserve"> the new hire or transferred employee will be provided a prorated quota and a prorated individual incentive.  See proration policy for more details.</w:t>
      </w:r>
      <w:r>
        <w:rPr>
          <w:rFonts w:ascii="Arial" w:hAnsi="Arial" w:cs="Arial"/>
        </w:rPr>
        <w:t xml:space="preserve">  </w:t>
      </w:r>
      <w:r w:rsidRPr="00821D6B">
        <w:rPr>
          <w:rFonts w:ascii="Arial" w:hAnsi="Arial" w:cs="Arial"/>
        </w:rPr>
        <w:t>New hire Participants mu</w:t>
      </w:r>
      <w:r>
        <w:rPr>
          <w:rFonts w:ascii="Arial" w:hAnsi="Arial" w:cs="Arial"/>
        </w:rPr>
        <w:t>st be on the plan for at least 6</w:t>
      </w:r>
      <w:r w:rsidRPr="00821D6B">
        <w:rPr>
          <w:rFonts w:ascii="Arial" w:hAnsi="Arial" w:cs="Arial"/>
        </w:rPr>
        <w:t xml:space="preserve"> months to be eligible for accelerated payouts.</w:t>
      </w:r>
    </w:p>
    <w:p w14:paraId="49187445" w14:textId="77777777" w:rsidR="00E756EC" w:rsidRPr="004E4286" w:rsidRDefault="00E756EC" w:rsidP="00E756EC">
      <w:pPr>
        <w:pStyle w:val="BodyText2"/>
        <w:spacing w:after="0" w:line="240" w:lineRule="auto"/>
        <w:ind w:left="720"/>
        <w:jc w:val="both"/>
        <w:rPr>
          <w:rFonts w:ascii="Arial" w:hAnsi="Arial" w:cs="Arial"/>
        </w:rPr>
      </w:pPr>
    </w:p>
    <w:p w14:paraId="4A315C66" w14:textId="2FC9AF78" w:rsidR="00E756EC" w:rsidRPr="004E4286" w:rsidRDefault="00E756EC" w:rsidP="00324164">
      <w:pPr>
        <w:pStyle w:val="Heading2"/>
      </w:pPr>
      <w:bookmarkStart w:id="129" w:name="_Toc376861324"/>
      <w:r w:rsidRPr="004E4286">
        <w:t>Resignation/</w:t>
      </w:r>
      <w:r w:rsidR="004C1432">
        <w:t>t</w:t>
      </w:r>
      <w:r w:rsidRPr="004E4286">
        <w:t>ermination</w:t>
      </w:r>
      <w:bookmarkEnd w:id="124"/>
      <w:bookmarkEnd w:id="125"/>
      <w:bookmarkEnd w:id="126"/>
      <w:bookmarkEnd w:id="127"/>
      <w:bookmarkEnd w:id="128"/>
      <w:bookmarkEnd w:id="129"/>
    </w:p>
    <w:p w14:paraId="62B28D05" w14:textId="77777777" w:rsidR="00E756EC" w:rsidRPr="004E4286" w:rsidRDefault="00E756EC" w:rsidP="00E756EC">
      <w:pPr>
        <w:pStyle w:val="BodyText2"/>
        <w:spacing w:after="0" w:line="240" w:lineRule="auto"/>
        <w:ind w:left="720"/>
        <w:jc w:val="both"/>
        <w:rPr>
          <w:rFonts w:ascii="Arial" w:hAnsi="Arial" w:cs="Arial"/>
        </w:rPr>
      </w:pPr>
      <w:r>
        <w:rPr>
          <w:rFonts w:ascii="Arial" w:hAnsi="Arial" w:cs="Arial"/>
        </w:rPr>
        <w:t>Participants</w:t>
      </w:r>
      <w:r w:rsidRPr="00332AC6">
        <w:rPr>
          <w:rFonts w:ascii="Arial" w:hAnsi="Arial" w:cs="Arial"/>
        </w:rPr>
        <w:t xml:space="preserve"> </w:t>
      </w:r>
      <w:r>
        <w:rPr>
          <w:rFonts w:ascii="Arial" w:hAnsi="Arial" w:cs="Arial"/>
        </w:rPr>
        <w:t>are</w:t>
      </w:r>
      <w:r w:rsidRPr="00332AC6">
        <w:rPr>
          <w:rFonts w:ascii="Arial" w:hAnsi="Arial" w:cs="Arial"/>
        </w:rPr>
        <w:t xml:space="preserve"> entitled to incentives earned on </w:t>
      </w:r>
      <w:r>
        <w:rPr>
          <w:rFonts w:ascii="Arial" w:hAnsi="Arial" w:cs="Arial"/>
        </w:rPr>
        <w:t>bookings</w:t>
      </w:r>
      <w:r w:rsidRPr="00332AC6">
        <w:rPr>
          <w:rFonts w:ascii="Arial" w:hAnsi="Arial" w:cs="Arial"/>
        </w:rPr>
        <w:t xml:space="preserve"> up to the last day of employment but will forgo all claims to any sales incentives </w:t>
      </w:r>
      <w:proofErr w:type="gramStart"/>
      <w:r w:rsidRPr="00332AC6">
        <w:rPr>
          <w:rFonts w:ascii="Arial" w:hAnsi="Arial" w:cs="Arial"/>
        </w:rPr>
        <w:t>subsequent to</w:t>
      </w:r>
      <w:proofErr w:type="gramEnd"/>
      <w:r w:rsidRPr="00332AC6">
        <w:rPr>
          <w:rFonts w:ascii="Arial" w:hAnsi="Arial" w:cs="Arial"/>
        </w:rPr>
        <w:t xml:space="preserve"> the last day of employment.  </w:t>
      </w:r>
    </w:p>
    <w:p w14:paraId="76D8DC18" w14:textId="77777777" w:rsidR="00E756EC" w:rsidRPr="004E4286" w:rsidRDefault="00E756EC" w:rsidP="00E756EC">
      <w:pPr>
        <w:rPr>
          <w:rFonts w:ascii="Arial" w:hAnsi="Arial" w:cs="Arial"/>
        </w:rPr>
      </w:pPr>
      <w:bookmarkStart w:id="130" w:name="_Toc4513259"/>
      <w:bookmarkStart w:id="131" w:name="_Toc4515903"/>
      <w:bookmarkStart w:id="132" w:name="_Toc4845645"/>
    </w:p>
    <w:p w14:paraId="78807868" w14:textId="28FB7800" w:rsidR="00E756EC" w:rsidRPr="00324164" w:rsidRDefault="00E756EC" w:rsidP="00B616C6">
      <w:pPr>
        <w:pStyle w:val="Heading4"/>
        <w:numPr>
          <w:ilvl w:val="0"/>
          <w:numId w:val="45"/>
        </w:numPr>
        <w:ind w:left="360"/>
        <w:rPr>
          <w:color w:val="235043"/>
        </w:rPr>
      </w:pPr>
      <w:bookmarkStart w:id="133" w:name="_Toc376861325"/>
      <w:r w:rsidRPr="00324164">
        <w:rPr>
          <w:color w:val="235043"/>
        </w:rPr>
        <w:t xml:space="preserve">Territories and </w:t>
      </w:r>
      <w:r w:rsidR="004C1432">
        <w:rPr>
          <w:color w:val="235043"/>
        </w:rPr>
        <w:t>q</w:t>
      </w:r>
      <w:r w:rsidRPr="00324164">
        <w:rPr>
          <w:color w:val="235043"/>
        </w:rPr>
        <w:t>uotas</w:t>
      </w:r>
      <w:bookmarkEnd w:id="130"/>
      <w:bookmarkEnd w:id="131"/>
      <w:bookmarkEnd w:id="132"/>
      <w:bookmarkEnd w:id="133"/>
    </w:p>
    <w:p w14:paraId="73981900" w14:textId="00BC52B5" w:rsidR="00E756EC" w:rsidRPr="004E4286" w:rsidRDefault="00E756EC" w:rsidP="00324164">
      <w:pPr>
        <w:pStyle w:val="Heading2"/>
      </w:pPr>
      <w:bookmarkStart w:id="134" w:name="_Toc62556527"/>
      <w:bookmarkStart w:id="135" w:name="_Toc376861326"/>
      <w:bookmarkEnd w:id="134"/>
      <w:r w:rsidRPr="004E4286">
        <w:t xml:space="preserve">Territory </w:t>
      </w:r>
      <w:r w:rsidR="004C1432">
        <w:t>a</w:t>
      </w:r>
      <w:r w:rsidRPr="004E4286">
        <w:t>ssignment</w:t>
      </w:r>
      <w:bookmarkEnd w:id="135"/>
    </w:p>
    <w:p w14:paraId="2D041282" w14:textId="09DFF1D3" w:rsidR="00E756EC" w:rsidRPr="004E4286" w:rsidRDefault="00E756EC" w:rsidP="00E756EC">
      <w:pPr>
        <w:ind w:left="720"/>
        <w:rPr>
          <w:rFonts w:ascii="Arial" w:hAnsi="Arial" w:cs="Arial"/>
        </w:rPr>
      </w:pPr>
      <w:r w:rsidRPr="004E4286">
        <w:rPr>
          <w:rFonts w:ascii="Arial" w:hAnsi="Arial" w:cs="Arial"/>
        </w:rPr>
        <w:t xml:space="preserve">Each Participant is assigned a territory or region, which may be defined by a geographic area, specific agencies, customers and/or prospects, selected industries, specified products and services, or a combination thereof.  </w:t>
      </w:r>
      <w:r w:rsidR="00525CB9">
        <w:rPr>
          <w:rFonts w:ascii="Arial" w:hAnsi="Arial" w:cs="Arial"/>
        </w:rPr>
        <w:t>Sales m</w:t>
      </w:r>
      <w:r w:rsidRPr="004E4286">
        <w:rPr>
          <w:rFonts w:ascii="Arial" w:hAnsi="Arial" w:cs="Arial"/>
        </w:rPr>
        <w:t>anagement reserves the right</w:t>
      </w:r>
      <w:r w:rsidR="00DC1C4F">
        <w:rPr>
          <w:rFonts w:ascii="Arial" w:hAnsi="Arial" w:cs="Arial"/>
        </w:rPr>
        <w:t>,</w:t>
      </w:r>
      <w:r w:rsidRPr="004E4286">
        <w:rPr>
          <w:rFonts w:ascii="Arial" w:hAnsi="Arial" w:cs="Arial"/>
        </w:rPr>
        <w:t xml:space="preserve"> in its sole discretion, to change territory assignments at any time during the fiscal year </w:t>
      </w:r>
      <w:r w:rsidR="005E016A">
        <w:rPr>
          <w:rFonts w:ascii="Arial" w:hAnsi="Arial" w:cs="Arial"/>
        </w:rPr>
        <w:t>if</w:t>
      </w:r>
      <w:r w:rsidRPr="004E4286">
        <w:rPr>
          <w:rFonts w:ascii="Arial" w:hAnsi="Arial" w:cs="Arial"/>
        </w:rPr>
        <w:t xml:space="preserve"> business conditions </w:t>
      </w:r>
      <w:r w:rsidR="00DC1C4F">
        <w:rPr>
          <w:rFonts w:ascii="Arial" w:hAnsi="Arial" w:cs="Arial"/>
        </w:rPr>
        <w:t>change</w:t>
      </w:r>
      <w:r w:rsidRPr="004E4286">
        <w:rPr>
          <w:rFonts w:ascii="Arial" w:hAnsi="Arial" w:cs="Arial"/>
        </w:rPr>
        <w:t xml:space="preserve"> or if it </w:t>
      </w:r>
      <w:r w:rsidR="00151273">
        <w:rPr>
          <w:rFonts w:ascii="Arial" w:hAnsi="Arial" w:cs="Arial"/>
        </w:rPr>
        <w:t xml:space="preserve">believes </w:t>
      </w:r>
      <w:r w:rsidRPr="004E4286">
        <w:rPr>
          <w:rFonts w:ascii="Arial" w:hAnsi="Arial" w:cs="Arial"/>
        </w:rPr>
        <w:t>the accounts will be better served by another representative or department.</w:t>
      </w:r>
    </w:p>
    <w:p w14:paraId="1046C24C" w14:textId="77777777" w:rsidR="00E756EC" w:rsidRPr="004E4286" w:rsidRDefault="00E756EC" w:rsidP="00E756EC">
      <w:pPr>
        <w:ind w:left="720"/>
        <w:rPr>
          <w:rFonts w:ascii="Arial" w:hAnsi="Arial" w:cs="Arial"/>
        </w:rPr>
      </w:pPr>
    </w:p>
    <w:p w14:paraId="05989283" w14:textId="42A191B5" w:rsidR="00E756EC" w:rsidRPr="004E4286" w:rsidRDefault="00E756EC" w:rsidP="00324164">
      <w:pPr>
        <w:pStyle w:val="Heading2"/>
      </w:pPr>
      <w:bookmarkStart w:id="136" w:name="_Toc376861327"/>
      <w:r w:rsidRPr="004E4286">
        <w:t xml:space="preserve">Quota </w:t>
      </w:r>
      <w:r w:rsidR="0026314A">
        <w:t>s</w:t>
      </w:r>
      <w:r w:rsidRPr="004E4286">
        <w:t xml:space="preserve">etting </w:t>
      </w:r>
      <w:r>
        <w:t xml:space="preserve">and </w:t>
      </w:r>
      <w:r w:rsidR="0026314A">
        <w:t>a</w:t>
      </w:r>
      <w:r>
        <w:t>llocation</w:t>
      </w:r>
      <w:bookmarkEnd w:id="136"/>
    </w:p>
    <w:p w14:paraId="49396835" w14:textId="7A72F8D0" w:rsidR="00E756EC" w:rsidRPr="004E4286" w:rsidRDefault="00E756EC" w:rsidP="00E756EC">
      <w:pPr>
        <w:ind w:left="720"/>
        <w:rPr>
          <w:rFonts w:ascii="Arial" w:hAnsi="Arial" w:cs="Arial"/>
        </w:rPr>
      </w:pPr>
      <w:r w:rsidRPr="004E4286">
        <w:rPr>
          <w:rFonts w:ascii="Arial" w:hAnsi="Arial" w:cs="Arial"/>
        </w:rPr>
        <w:t xml:space="preserve">The </w:t>
      </w:r>
      <w:r w:rsidR="00151273" w:rsidRPr="00151273">
        <w:rPr>
          <w:rFonts w:ascii="Arial" w:hAnsi="Arial" w:cs="Arial"/>
          <w:highlight w:val="yellow"/>
        </w:rPr>
        <w:t>&lt;</w:t>
      </w:r>
      <w:r w:rsidRPr="00151273">
        <w:rPr>
          <w:rFonts w:ascii="Arial" w:hAnsi="Arial" w:cs="Arial"/>
          <w:highlight w:val="yellow"/>
        </w:rPr>
        <w:t>Head of Sales</w:t>
      </w:r>
      <w:r w:rsidR="00151273" w:rsidRPr="00151273">
        <w:rPr>
          <w:rFonts w:ascii="Arial" w:hAnsi="Arial" w:cs="Arial"/>
          <w:highlight w:val="yellow"/>
        </w:rPr>
        <w:t>&gt;</w:t>
      </w:r>
      <w:r>
        <w:rPr>
          <w:rFonts w:ascii="Arial" w:hAnsi="Arial" w:cs="Arial"/>
        </w:rPr>
        <w:t xml:space="preserve"> </w:t>
      </w:r>
      <w:r w:rsidRPr="004E4286">
        <w:rPr>
          <w:rFonts w:ascii="Arial" w:hAnsi="Arial" w:cs="Arial"/>
        </w:rPr>
        <w:t xml:space="preserve">and </w:t>
      </w:r>
      <w:r w:rsidR="00151273" w:rsidRPr="00151273">
        <w:rPr>
          <w:rFonts w:ascii="Arial" w:hAnsi="Arial" w:cs="Arial"/>
          <w:highlight w:val="yellow"/>
        </w:rPr>
        <w:t xml:space="preserve">&lt;Head of </w:t>
      </w:r>
      <w:r w:rsidRPr="00151273">
        <w:rPr>
          <w:rFonts w:ascii="Arial" w:hAnsi="Arial" w:cs="Arial"/>
          <w:highlight w:val="yellow"/>
        </w:rPr>
        <w:t>Finance</w:t>
      </w:r>
      <w:r w:rsidR="00151273" w:rsidRPr="00151273">
        <w:rPr>
          <w:rFonts w:ascii="Arial" w:hAnsi="Arial" w:cs="Arial"/>
          <w:highlight w:val="yellow"/>
        </w:rPr>
        <w:t>&gt;</w:t>
      </w:r>
      <w:r w:rsidRPr="004E4286">
        <w:rPr>
          <w:rFonts w:ascii="Arial" w:hAnsi="Arial" w:cs="Arial"/>
        </w:rPr>
        <w:t xml:space="preserve"> will determine the sales organization quota based on market trends, product roadmaps, historical data, and corporate expectations.</w:t>
      </w:r>
      <w:r>
        <w:rPr>
          <w:rFonts w:ascii="Arial" w:hAnsi="Arial" w:cs="Arial"/>
        </w:rPr>
        <w:t xml:space="preserve">  </w:t>
      </w:r>
      <w:r w:rsidRPr="004E4286">
        <w:rPr>
          <w:rFonts w:ascii="Arial" w:hAnsi="Arial" w:cs="Arial"/>
        </w:rPr>
        <w:t xml:space="preserve">Sales management will allocate the quarterly and annual quotas for each Participant’s </w:t>
      </w:r>
      <w:r>
        <w:rPr>
          <w:rFonts w:ascii="Arial" w:hAnsi="Arial" w:cs="Arial"/>
        </w:rPr>
        <w:t>Bookings</w:t>
      </w:r>
      <w:r w:rsidRPr="004E4286">
        <w:rPr>
          <w:rFonts w:ascii="Arial" w:hAnsi="Arial" w:cs="Arial"/>
        </w:rPr>
        <w:t xml:space="preserve"> measure based on expected sales potential in their assigned territory or assigned accounts.  The quotas will be communicated to the sales force prior to the end of the first month of the new fiscal year. </w:t>
      </w:r>
    </w:p>
    <w:p w14:paraId="3A5F9112" w14:textId="77777777" w:rsidR="00E756EC" w:rsidRPr="004E4286" w:rsidRDefault="00E756EC" w:rsidP="00E756EC">
      <w:pPr>
        <w:ind w:left="720"/>
        <w:jc w:val="both"/>
        <w:rPr>
          <w:rFonts w:ascii="Arial" w:hAnsi="Arial" w:cs="Arial"/>
        </w:rPr>
      </w:pPr>
    </w:p>
    <w:p w14:paraId="7F4D34E1" w14:textId="25054C67" w:rsidR="00E756EC" w:rsidRPr="004E4286" w:rsidRDefault="00E756EC" w:rsidP="00324164">
      <w:pPr>
        <w:pStyle w:val="Heading2"/>
      </w:pPr>
      <w:bookmarkStart w:id="137" w:name="_Toc376861328"/>
      <w:r>
        <w:t xml:space="preserve">Territory and </w:t>
      </w:r>
      <w:r w:rsidR="0026314A">
        <w:t>q</w:t>
      </w:r>
      <w:r w:rsidRPr="004E4286">
        <w:t xml:space="preserve">uota </w:t>
      </w:r>
      <w:r w:rsidR="0026314A">
        <w:t>m</w:t>
      </w:r>
      <w:r w:rsidRPr="004E4286">
        <w:t>anagement</w:t>
      </w:r>
      <w:bookmarkEnd w:id="137"/>
    </w:p>
    <w:p w14:paraId="4FF297AB" w14:textId="354BF0D7" w:rsidR="00E756EC" w:rsidRPr="004E4286" w:rsidRDefault="00E756EC" w:rsidP="00E756EC">
      <w:pPr>
        <w:pStyle w:val="ident"/>
        <w:spacing w:after="0"/>
        <w:ind w:left="720"/>
        <w:rPr>
          <w:rFonts w:cs="Arial"/>
          <w:color w:val="auto"/>
        </w:rPr>
      </w:pPr>
      <w:r w:rsidRPr="004E4286">
        <w:rPr>
          <w:rFonts w:cs="Arial"/>
          <w:color w:val="auto"/>
        </w:rPr>
        <w:t xml:space="preserve">The </w:t>
      </w:r>
      <w:r>
        <w:rPr>
          <w:rFonts w:cs="Arial"/>
          <w:color w:val="auto"/>
        </w:rPr>
        <w:t>Company</w:t>
      </w:r>
      <w:r w:rsidRPr="004E4286">
        <w:rPr>
          <w:rFonts w:cs="Arial"/>
          <w:color w:val="auto"/>
        </w:rPr>
        <w:t xml:space="preserve"> reserves the right to make </w:t>
      </w:r>
      <w:r>
        <w:rPr>
          <w:rFonts w:cs="Arial"/>
          <w:color w:val="auto"/>
        </w:rPr>
        <w:t>company</w:t>
      </w:r>
      <w:r w:rsidRPr="004E4286">
        <w:rPr>
          <w:rFonts w:cs="Arial"/>
          <w:color w:val="auto"/>
        </w:rPr>
        <w:t xml:space="preserve">-wide and individual </w:t>
      </w:r>
      <w:r>
        <w:rPr>
          <w:rFonts w:cs="Arial"/>
          <w:color w:val="auto"/>
        </w:rPr>
        <w:t xml:space="preserve">territory and </w:t>
      </w:r>
      <w:r w:rsidRPr="004E4286">
        <w:rPr>
          <w:rFonts w:cs="Arial"/>
          <w:color w:val="auto"/>
        </w:rPr>
        <w:t>quota changes.  Quotas may be adjusted up or down.  Account/territory reassignment should occur at the beginning of each quarter.  Quota amounts will follow the account/territory assignment changes.  However, if business necessity dictates</w:t>
      </w:r>
      <w:r w:rsidR="00525CB9">
        <w:rPr>
          <w:rFonts w:cs="Arial"/>
          <w:color w:val="auto"/>
        </w:rPr>
        <w:t>,</w:t>
      </w:r>
      <w:r w:rsidRPr="004E4286">
        <w:rPr>
          <w:rFonts w:cs="Arial"/>
          <w:color w:val="auto"/>
        </w:rPr>
        <w:t xml:space="preserve"> sales management may approve mid-period reassignments.  During such cases, sales management will determine the amount of quota to move with the account.  Sales management will submit any quota changes to the Compensation Review Board for their review and approval.</w:t>
      </w:r>
    </w:p>
    <w:p w14:paraId="28B16599" w14:textId="77777777" w:rsidR="00E756EC" w:rsidRPr="004E4286" w:rsidRDefault="00E756EC" w:rsidP="00E756EC">
      <w:pPr>
        <w:pStyle w:val="TableText"/>
        <w:widowControl w:val="0"/>
        <w:ind w:left="0"/>
        <w:rPr>
          <w:rFonts w:cs="Arial"/>
          <w:color w:val="auto"/>
        </w:rPr>
      </w:pPr>
    </w:p>
    <w:p w14:paraId="38935654" w14:textId="740ACD02" w:rsidR="00E756EC" w:rsidRPr="00324164" w:rsidRDefault="00E756EC" w:rsidP="00B616C6">
      <w:pPr>
        <w:pStyle w:val="Heading4"/>
        <w:numPr>
          <w:ilvl w:val="0"/>
          <w:numId w:val="45"/>
        </w:numPr>
        <w:ind w:left="360"/>
        <w:rPr>
          <w:color w:val="235043"/>
        </w:rPr>
      </w:pPr>
      <w:bookmarkStart w:id="138" w:name="_Toc376861329"/>
      <w:r w:rsidRPr="00324164">
        <w:rPr>
          <w:color w:val="235043"/>
        </w:rPr>
        <w:t xml:space="preserve">Plan </w:t>
      </w:r>
      <w:r w:rsidR="0026314A">
        <w:rPr>
          <w:color w:val="235043"/>
        </w:rPr>
        <w:t>a</w:t>
      </w:r>
      <w:r w:rsidRPr="00324164">
        <w:rPr>
          <w:color w:val="235043"/>
        </w:rPr>
        <w:t xml:space="preserve">dministration and </w:t>
      </w:r>
      <w:r w:rsidR="0026314A">
        <w:rPr>
          <w:color w:val="235043"/>
        </w:rPr>
        <w:t>t</w:t>
      </w:r>
      <w:r w:rsidRPr="00324164">
        <w:rPr>
          <w:color w:val="235043"/>
        </w:rPr>
        <w:t xml:space="preserve">iming of </w:t>
      </w:r>
      <w:r w:rsidR="0026314A">
        <w:rPr>
          <w:color w:val="235043"/>
        </w:rPr>
        <w:t>in</w:t>
      </w:r>
      <w:r w:rsidRPr="00324164">
        <w:rPr>
          <w:color w:val="235043"/>
        </w:rPr>
        <w:t xml:space="preserve">centive </w:t>
      </w:r>
      <w:r w:rsidR="0026314A">
        <w:rPr>
          <w:color w:val="235043"/>
        </w:rPr>
        <w:t>p</w:t>
      </w:r>
      <w:r w:rsidRPr="00324164">
        <w:rPr>
          <w:color w:val="235043"/>
        </w:rPr>
        <w:t>ayments</w:t>
      </w:r>
      <w:bookmarkEnd w:id="138"/>
    </w:p>
    <w:p w14:paraId="0763B3C1" w14:textId="77777777" w:rsidR="00E756EC" w:rsidRDefault="00E756EC" w:rsidP="00E756EC">
      <w:pPr>
        <w:pStyle w:val="BodyText2"/>
        <w:spacing w:after="0" w:line="240" w:lineRule="auto"/>
        <w:jc w:val="both"/>
        <w:rPr>
          <w:rFonts w:ascii="Arial" w:hAnsi="Arial" w:cs="Arial"/>
        </w:rPr>
      </w:pPr>
      <w:r w:rsidRPr="002C5941">
        <w:rPr>
          <w:rFonts w:ascii="Arial" w:hAnsi="Arial" w:cs="Arial"/>
        </w:rPr>
        <w:t>The Finance Depar</w:t>
      </w:r>
      <w:r>
        <w:rPr>
          <w:rFonts w:ascii="Arial" w:hAnsi="Arial" w:cs="Arial"/>
        </w:rPr>
        <w:t xml:space="preserve">tment will administer the Plan. </w:t>
      </w:r>
      <w:r w:rsidRPr="002C5941">
        <w:rPr>
          <w:rFonts w:ascii="Arial" w:hAnsi="Arial" w:cs="Arial"/>
        </w:rPr>
        <w:t xml:space="preserve"> Incentive payments will be calculated and paid quarterly, no later than 45 days </w:t>
      </w:r>
      <w:r>
        <w:rPr>
          <w:rFonts w:ascii="Arial" w:hAnsi="Arial" w:cs="Arial"/>
        </w:rPr>
        <w:t>after the close of the quarter.</w:t>
      </w:r>
    </w:p>
    <w:p w14:paraId="16F3A16C" w14:textId="77777777" w:rsidR="00E756EC" w:rsidRDefault="00E756EC" w:rsidP="00E756EC">
      <w:pPr>
        <w:pStyle w:val="Heading1"/>
        <w:keepLines w:val="0"/>
        <w:spacing w:before="0"/>
        <w:ind w:left="360"/>
        <w:rPr>
          <w:rFonts w:ascii="Arial" w:hAnsi="Arial" w:cs="Arial"/>
          <w:sz w:val="20"/>
          <w:szCs w:val="20"/>
        </w:rPr>
      </w:pPr>
    </w:p>
    <w:p w14:paraId="1B846974" w14:textId="31CD581B" w:rsidR="00E756EC" w:rsidRPr="00324164" w:rsidRDefault="00E756EC" w:rsidP="00B616C6">
      <w:pPr>
        <w:pStyle w:val="Heading4"/>
        <w:numPr>
          <w:ilvl w:val="0"/>
          <w:numId w:val="45"/>
        </w:numPr>
        <w:ind w:left="360"/>
        <w:rPr>
          <w:color w:val="235043"/>
        </w:rPr>
      </w:pPr>
      <w:bookmarkStart w:id="139" w:name="_Toc376861330"/>
      <w:r w:rsidRPr="00324164">
        <w:rPr>
          <w:color w:val="235043"/>
        </w:rPr>
        <w:t xml:space="preserve">Incentive </w:t>
      </w:r>
      <w:r w:rsidR="0026314A">
        <w:rPr>
          <w:color w:val="235043"/>
        </w:rPr>
        <w:t>p</w:t>
      </w:r>
      <w:r w:rsidRPr="00324164">
        <w:rPr>
          <w:color w:val="235043"/>
        </w:rPr>
        <w:t xml:space="preserve">ayment </w:t>
      </w:r>
      <w:r w:rsidR="0026314A">
        <w:rPr>
          <w:color w:val="235043"/>
        </w:rPr>
        <w:t>a</w:t>
      </w:r>
      <w:r w:rsidRPr="00324164">
        <w:rPr>
          <w:color w:val="235043"/>
        </w:rPr>
        <w:t>pprovals</w:t>
      </w:r>
      <w:bookmarkEnd w:id="139"/>
    </w:p>
    <w:p w14:paraId="41CE49FA" w14:textId="6B7F3485" w:rsidR="00E756EC" w:rsidRDefault="00E756EC" w:rsidP="00E756EC">
      <w:pPr>
        <w:pStyle w:val="BodyText2"/>
        <w:spacing w:after="0" w:line="240" w:lineRule="auto"/>
        <w:jc w:val="both"/>
        <w:rPr>
          <w:rFonts w:ascii="Arial" w:hAnsi="Arial" w:cs="Arial"/>
        </w:rPr>
      </w:pPr>
      <w:r w:rsidRPr="009D22E7">
        <w:rPr>
          <w:rFonts w:ascii="Arial" w:hAnsi="Arial" w:cs="Arial"/>
        </w:rPr>
        <w:t xml:space="preserve">Incentive payments are approved by the employee’s Manager, </w:t>
      </w:r>
      <w:r w:rsidR="00525CB9" w:rsidRPr="00525CB9">
        <w:rPr>
          <w:rFonts w:ascii="Arial" w:hAnsi="Arial" w:cs="Arial"/>
          <w:highlight w:val="yellow"/>
        </w:rPr>
        <w:t>&lt;</w:t>
      </w:r>
      <w:r w:rsidRPr="00525CB9">
        <w:rPr>
          <w:rFonts w:ascii="Arial" w:hAnsi="Arial" w:cs="Arial"/>
          <w:highlight w:val="yellow"/>
        </w:rPr>
        <w:t>Head of Sales</w:t>
      </w:r>
      <w:r w:rsidR="00525CB9" w:rsidRPr="00525CB9">
        <w:rPr>
          <w:rFonts w:ascii="Arial" w:hAnsi="Arial" w:cs="Arial"/>
          <w:highlight w:val="yellow"/>
        </w:rPr>
        <w:t>&gt;</w:t>
      </w:r>
      <w:r w:rsidRPr="009D22E7">
        <w:rPr>
          <w:rFonts w:ascii="Arial" w:hAnsi="Arial" w:cs="Arial"/>
        </w:rPr>
        <w:t xml:space="preserve">, </w:t>
      </w:r>
      <w:r w:rsidR="00525CB9">
        <w:rPr>
          <w:rFonts w:ascii="Arial" w:hAnsi="Arial" w:cs="Arial"/>
        </w:rPr>
        <w:t xml:space="preserve">and </w:t>
      </w:r>
      <w:r w:rsidR="00525CB9" w:rsidRPr="00525CB9">
        <w:rPr>
          <w:rFonts w:ascii="Arial" w:hAnsi="Arial" w:cs="Arial"/>
          <w:highlight w:val="yellow"/>
        </w:rPr>
        <w:t>&lt;</w:t>
      </w:r>
      <w:r w:rsidRPr="00525CB9">
        <w:rPr>
          <w:rFonts w:ascii="Arial" w:hAnsi="Arial" w:cs="Arial"/>
          <w:highlight w:val="yellow"/>
        </w:rPr>
        <w:t>Head of Finance</w:t>
      </w:r>
      <w:r w:rsidR="00525CB9" w:rsidRPr="00525CB9">
        <w:rPr>
          <w:rFonts w:ascii="Arial" w:hAnsi="Arial" w:cs="Arial"/>
          <w:highlight w:val="yellow"/>
        </w:rPr>
        <w:t>&gt;</w:t>
      </w:r>
      <w:r w:rsidR="00525CB9">
        <w:rPr>
          <w:rFonts w:ascii="Arial" w:hAnsi="Arial" w:cs="Arial"/>
        </w:rPr>
        <w:t>.</w:t>
      </w:r>
    </w:p>
    <w:p w14:paraId="21F8D690" w14:textId="77777777" w:rsidR="00E756EC" w:rsidRDefault="00E756EC" w:rsidP="00E756EC">
      <w:pPr>
        <w:pStyle w:val="BodyText2"/>
        <w:spacing w:after="0" w:line="240" w:lineRule="auto"/>
        <w:jc w:val="both"/>
        <w:rPr>
          <w:rFonts w:ascii="Arial" w:hAnsi="Arial" w:cs="Arial"/>
        </w:rPr>
      </w:pPr>
    </w:p>
    <w:p w14:paraId="624C0483" w14:textId="481275B3" w:rsidR="00E756EC" w:rsidRPr="00324164" w:rsidRDefault="00E756EC" w:rsidP="00B616C6">
      <w:pPr>
        <w:pStyle w:val="Heading4"/>
        <w:numPr>
          <w:ilvl w:val="0"/>
          <w:numId w:val="45"/>
        </w:numPr>
        <w:ind w:left="360"/>
        <w:rPr>
          <w:color w:val="235043"/>
        </w:rPr>
      </w:pPr>
      <w:bookmarkStart w:id="140" w:name="_Toc376861331"/>
      <w:r w:rsidRPr="00324164">
        <w:rPr>
          <w:color w:val="235043"/>
        </w:rPr>
        <w:t xml:space="preserve">Incentive </w:t>
      </w:r>
      <w:r w:rsidR="0026314A">
        <w:rPr>
          <w:color w:val="235043"/>
        </w:rPr>
        <w:t>p</w:t>
      </w:r>
      <w:r w:rsidRPr="00324164">
        <w:rPr>
          <w:color w:val="235043"/>
        </w:rPr>
        <w:t xml:space="preserve">ayment </w:t>
      </w:r>
      <w:r w:rsidR="0026314A">
        <w:rPr>
          <w:color w:val="235043"/>
        </w:rPr>
        <w:t>e</w:t>
      </w:r>
      <w:r w:rsidRPr="00324164">
        <w:rPr>
          <w:color w:val="235043"/>
        </w:rPr>
        <w:t xml:space="preserve">rrors and </w:t>
      </w:r>
      <w:r w:rsidR="0026314A">
        <w:rPr>
          <w:color w:val="235043"/>
        </w:rPr>
        <w:t>c</w:t>
      </w:r>
      <w:r w:rsidRPr="00324164">
        <w:rPr>
          <w:color w:val="235043"/>
        </w:rPr>
        <w:t>orrections</w:t>
      </w:r>
      <w:bookmarkEnd w:id="140"/>
    </w:p>
    <w:p w14:paraId="19560A42" w14:textId="3B07F77D" w:rsidR="00E756EC" w:rsidRDefault="00E756EC" w:rsidP="00E756EC">
      <w:pPr>
        <w:pStyle w:val="BodyText2"/>
        <w:spacing w:after="0" w:line="240" w:lineRule="auto"/>
        <w:jc w:val="both"/>
        <w:rPr>
          <w:rFonts w:ascii="Arial" w:hAnsi="Arial" w:cs="Arial"/>
        </w:rPr>
      </w:pPr>
      <w:r w:rsidRPr="009D22E7">
        <w:rPr>
          <w:rFonts w:ascii="Arial" w:hAnsi="Arial" w:cs="Arial"/>
        </w:rPr>
        <w:t xml:space="preserve">In the event that </w:t>
      </w:r>
      <w:proofErr w:type="gramStart"/>
      <w:r w:rsidR="00B616C6" w:rsidRPr="009D22E7">
        <w:rPr>
          <w:rFonts w:ascii="Arial" w:hAnsi="Arial" w:cs="Arial"/>
        </w:rPr>
        <w:t>Finance</w:t>
      </w:r>
      <w:proofErr w:type="gramEnd"/>
      <w:r w:rsidR="009848AF">
        <w:rPr>
          <w:rFonts w:ascii="Arial" w:hAnsi="Arial" w:cs="Arial"/>
        </w:rPr>
        <w:t xml:space="preserve"> </w:t>
      </w:r>
      <w:r w:rsidRPr="009D22E7">
        <w:rPr>
          <w:rFonts w:ascii="Arial" w:hAnsi="Arial" w:cs="Arial"/>
        </w:rPr>
        <w:t xml:space="preserve">or a Participant discovers an error in an Incentive payment, the party discovering the error must promptly notify the other party of the nature and extent of the error.  Finance will then complete an audit of the calculation of the payment to determine if additional </w:t>
      </w:r>
      <w:r w:rsidR="008210E8">
        <w:rPr>
          <w:rFonts w:ascii="Arial" w:hAnsi="Arial" w:cs="Arial"/>
        </w:rPr>
        <w:t>q</w:t>
      </w:r>
      <w:r w:rsidRPr="009D22E7">
        <w:rPr>
          <w:rFonts w:ascii="Arial" w:hAnsi="Arial" w:cs="Arial"/>
        </w:rPr>
        <w:t xml:space="preserve">uota credit is owed to the Participant or </w:t>
      </w:r>
      <w:r>
        <w:rPr>
          <w:rFonts w:ascii="Arial" w:hAnsi="Arial" w:cs="Arial"/>
        </w:rPr>
        <w:t xml:space="preserve">if an overpayment has </w:t>
      </w:r>
      <w:r w:rsidRPr="00172D67">
        <w:rPr>
          <w:rFonts w:ascii="Arial" w:hAnsi="Arial" w:cs="Arial"/>
        </w:rPr>
        <w:t xml:space="preserve">occurred.  Adjustments to </w:t>
      </w:r>
      <w:r w:rsidR="008210E8" w:rsidRPr="00172D67">
        <w:rPr>
          <w:rFonts w:ascii="Arial" w:hAnsi="Arial" w:cs="Arial"/>
        </w:rPr>
        <w:t>i</w:t>
      </w:r>
      <w:r w:rsidRPr="00172D67">
        <w:rPr>
          <w:rFonts w:ascii="Arial" w:hAnsi="Arial" w:cs="Arial"/>
        </w:rPr>
        <w:t xml:space="preserve">ncentive payments as the result of corrections to errors will be applied in the period in which the </w:t>
      </w:r>
      <w:r w:rsidR="009D500C" w:rsidRPr="00172D67">
        <w:rPr>
          <w:rFonts w:ascii="Arial" w:hAnsi="Arial" w:cs="Arial"/>
        </w:rPr>
        <w:t>error</w:t>
      </w:r>
      <w:r w:rsidRPr="00172D67">
        <w:rPr>
          <w:rFonts w:ascii="Arial" w:hAnsi="Arial" w:cs="Arial"/>
        </w:rPr>
        <w:t xml:space="preserve"> is </w:t>
      </w:r>
      <w:r w:rsidR="00470D1F" w:rsidRPr="00172D67">
        <w:rPr>
          <w:rFonts w:ascii="Arial" w:hAnsi="Arial" w:cs="Arial"/>
        </w:rPr>
        <w:t>audited</w:t>
      </w:r>
      <w:r w:rsidRPr="00172D67">
        <w:rPr>
          <w:rFonts w:ascii="Arial" w:hAnsi="Arial" w:cs="Arial"/>
        </w:rPr>
        <w:t>.</w:t>
      </w:r>
    </w:p>
    <w:p w14:paraId="14D43256" w14:textId="77777777" w:rsidR="00E756EC" w:rsidRPr="004E4286" w:rsidRDefault="00E756EC" w:rsidP="00E756EC">
      <w:pPr>
        <w:pStyle w:val="TableText"/>
        <w:widowControl w:val="0"/>
        <w:ind w:left="0"/>
        <w:rPr>
          <w:rFonts w:cs="Arial"/>
          <w:color w:val="auto"/>
        </w:rPr>
      </w:pPr>
    </w:p>
    <w:p w14:paraId="2B9BD51A" w14:textId="77777777" w:rsidR="00E756EC" w:rsidRPr="00324164" w:rsidRDefault="00E756EC" w:rsidP="00B616C6">
      <w:pPr>
        <w:pStyle w:val="Heading4"/>
        <w:numPr>
          <w:ilvl w:val="0"/>
          <w:numId w:val="45"/>
        </w:numPr>
        <w:ind w:left="360"/>
        <w:rPr>
          <w:color w:val="235043"/>
        </w:rPr>
      </w:pPr>
      <w:bookmarkStart w:id="141" w:name="_Toc66527494"/>
      <w:bookmarkStart w:id="142" w:name="_Toc376861332"/>
      <w:r w:rsidRPr="00324164">
        <w:rPr>
          <w:color w:val="235043"/>
        </w:rPr>
        <w:lastRenderedPageBreak/>
        <w:t>Compensation Review Board (CRB)</w:t>
      </w:r>
      <w:bookmarkEnd w:id="141"/>
      <w:bookmarkEnd w:id="142"/>
    </w:p>
    <w:p w14:paraId="144B0158" w14:textId="6D673845" w:rsidR="00E756EC" w:rsidRPr="004E4286" w:rsidRDefault="00E756EC" w:rsidP="00E756EC">
      <w:pPr>
        <w:pStyle w:val="ident"/>
        <w:spacing w:after="0"/>
        <w:ind w:left="0"/>
        <w:rPr>
          <w:rFonts w:cs="Arial"/>
          <w:color w:val="auto"/>
        </w:rPr>
      </w:pPr>
      <w:r w:rsidRPr="004E4286">
        <w:rPr>
          <w:rFonts w:cs="Arial"/>
          <w:color w:val="auto"/>
        </w:rPr>
        <w:t xml:space="preserve">The CRB consists of </w:t>
      </w:r>
      <w:r w:rsidR="00DD7216" w:rsidRPr="00DD7216">
        <w:rPr>
          <w:rFonts w:cs="Arial"/>
          <w:color w:val="auto"/>
          <w:highlight w:val="yellow"/>
        </w:rPr>
        <w:t>&lt;</w:t>
      </w:r>
      <w:r w:rsidRPr="00DD7216">
        <w:rPr>
          <w:rFonts w:cs="Arial"/>
          <w:highlight w:val="yellow"/>
        </w:rPr>
        <w:t>Head</w:t>
      </w:r>
      <w:r w:rsidR="00DD7216" w:rsidRPr="00DD7216">
        <w:rPr>
          <w:rFonts w:cs="Arial"/>
          <w:highlight w:val="yellow"/>
        </w:rPr>
        <w:t>s</w:t>
      </w:r>
      <w:r w:rsidRPr="00DD7216">
        <w:rPr>
          <w:rFonts w:cs="Arial"/>
          <w:highlight w:val="yellow"/>
        </w:rPr>
        <w:t xml:space="preserve"> of Sales, </w:t>
      </w:r>
      <w:r w:rsidRPr="00DD7216">
        <w:rPr>
          <w:rFonts w:cs="Arial"/>
          <w:color w:val="auto"/>
          <w:highlight w:val="yellow"/>
        </w:rPr>
        <w:t>HR, Sales Operations, and Finance</w:t>
      </w:r>
      <w:r w:rsidR="00DD7216" w:rsidRPr="00DD7216">
        <w:rPr>
          <w:rFonts w:cs="Arial"/>
          <w:color w:val="auto"/>
          <w:highlight w:val="yellow"/>
        </w:rPr>
        <w:t>&gt;</w:t>
      </w:r>
      <w:r w:rsidRPr="00DD7216">
        <w:rPr>
          <w:rFonts w:cs="Arial"/>
          <w:color w:val="auto"/>
        </w:rPr>
        <w:t>.</w:t>
      </w:r>
      <w:r w:rsidRPr="004E4286">
        <w:rPr>
          <w:rFonts w:cs="Arial"/>
          <w:color w:val="auto"/>
        </w:rPr>
        <w:t xml:space="preserve"> This team meets quarterly on an ad hoc basis to review and approve any quota adjustments, plan changes/inquiries, or program excep</w:t>
      </w:r>
      <w:bookmarkStart w:id="143" w:name="_Toc4845664"/>
      <w:bookmarkStart w:id="144" w:name="_Toc66527503"/>
      <w:r w:rsidRPr="004E4286">
        <w:rPr>
          <w:rFonts w:cs="Arial"/>
          <w:color w:val="auto"/>
        </w:rPr>
        <w:t>tions, and windfall situations.</w:t>
      </w:r>
    </w:p>
    <w:p w14:paraId="1C7F379B" w14:textId="77777777" w:rsidR="00E756EC" w:rsidRPr="004E4286" w:rsidRDefault="00E756EC" w:rsidP="00E756EC">
      <w:pPr>
        <w:pStyle w:val="ident"/>
        <w:spacing w:after="0"/>
        <w:ind w:left="0"/>
        <w:rPr>
          <w:rFonts w:cs="Arial"/>
          <w:color w:val="auto"/>
        </w:rPr>
      </w:pPr>
    </w:p>
    <w:p w14:paraId="5784F658" w14:textId="4AE2C403" w:rsidR="00E756EC" w:rsidRPr="00324164" w:rsidRDefault="00E756EC" w:rsidP="00B616C6">
      <w:pPr>
        <w:pStyle w:val="Heading4"/>
        <w:numPr>
          <w:ilvl w:val="0"/>
          <w:numId w:val="45"/>
        </w:numPr>
        <w:ind w:left="360"/>
        <w:rPr>
          <w:color w:val="235043"/>
        </w:rPr>
      </w:pPr>
      <w:bookmarkStart w:id="145" w:name="_Toc376861333"/>
      <w:r w:rsidRPr="00324164">
        <w:rPr>
          <w:color w:val="235043"/>
        </w:rPr>
        <w:t xml:space="preserve">Special </w:t>
      </w:r>
      <w:r w:rsidR="0050103D">
        <w:rPr>
          <w:color w:val="235043"/>
        </w:rPr>
        <w:t>s</w:t>
      </w:r>
      <w:r w:rsidRPr="00324164">
        <w:rPr>
          <w:color w:val="235043"/>
        </w:rPr>
        <w:t xml:space="preserve">ales </w:t>
      </w:r>
      <w:r w:rsidR="0050103D">
        <w:rPr>
          <w:color w:val="235043"/>
        </w:rPr>
        <w:t>i</w:t>
      </w:r>
      <w:r w:rsidRPr="00324164">
        <w:rPr>
          <w:color w:val="235043"/>
        </w:rPr>
        <w:t>ncentives</w:t>
      </w:r>
      <w:bookmarkEnd w:id="143"/>
      <w:bookmarkEnd w:id="144"/>
      <w:bookmarkEnd w:id="145"/>
    </w:p>
    <w:p w14:paraId="22EB8149" w14:textId="288348FF" w:rsidR="00E756EC" w:rsidRPr="004E4286" w:rsidRDefault="00E756EC" w:rsidP="00E756EC">
      <w:pPr>
        <w:pStyle w:val="BodyText2"/>
        <w:spacing w:after="0" w:line="240" w:lineRule="auto"/>
        <w:jc w:val="both"/>
        <w:rPr>
          <w:rFonts w:ascii="Arial" w:hAnsi="Arial" w:cs="Arial"/>
        </w:rPr>
      </w:pPr>
      <w:r w:rsidRPr="004E4286">
        <w:rPr>
          <w:rFonts w:ascii="Arial" w:hAnsi="Arial" w:cs="Arial"/>
        </w:rPr>
        <w:t xml:space="preserve">On occasion </w:t>
      </w:r>
      <w:r w:rsidR="00B65B27">
        <w:rPr>
          <w:rFonts w:ascii="Arial" w:hAnsi="Arial" w:cs="Arial"/>
        </w:rPr>
        <w:t xml:space="preserve">the </w:t>
      </w:r>
      <w:r w:rsidR="00B65B27" w:rsidRPr="00B65B27">
        <w:rPr>
          <w:rFonts w:ascii="Arial" w:hAnsi="Arial" w:cs="Arial"/>
          <w:color w:val="000000" w:themeColor="text1"/>
          <w:highlight w:val="yellow"/>
        </w:rPr>
        <w:t>&lt;</w:t>
      </w:r>
      <w:r w:rsidRPr="00B65B27">
        <w:rPr>
          <w:rFonts w:ascii="Arial" w:hAnsi="Arial" w:cs="Arial"/>
          <w:color w:val="000000" w:themeColor="text1"/>
          <w:highlight w:val="yellow"/>
        </w:rPr>
        <w:t>Head of Sales</w:t>
      </w:r>
      <w:r w:rsidR="00B65B27" w:rsidRPr="00B65B27">
        <w:rPr>
          <w:rFonts w:ascii="Arial" w:hAnsi="Arial" w:cs="Arial"/>
          <w:color w:val="000000" w:themeColor="text1"/>
          <w:highlight w:val="yellow"/>
        </w:rPr>
        <w:t>&gt;</w:t>
      </w:r>
      <w:r w:rsidRPr="00B65B27">
        <w:rPr>
          <w:rFonts w:ascii="Arial" w:hAnsi="Arial" w:cs="Arial"/>
          <w:color w:val="000000" w:themeColor="text1"/>
        </w:rPr>
        <w:t xml:space="preserve"> </w:t>
      </w:r>
      <w:r w:rsidRPr="004E4286">
        <w:rPr>
          <w:rFonts w:ascii="Arial" w:hAnsi="Arial" w:cs="Arial"/>
        </w:rPr>
        <w:t xml:space="preserve">may establish additional special sales incentives which are not considered within the scope of this sales compensation plan.  The </w:t>
      </w:r>
      <w:r w:rsidR="00B65B27" w:rsidRPr="00B65B27">
        <w:rPr>
          <w:rFonts w:ascii="Arial" w:hAnsi="Arial" w:cs="Arial"/>
          <w:highlight w:val="yellow"/>
        </w:rPr>
        <w:t>&lt;</w:t>
      </w:r>
      <w:r w:rsidRPr="00B65B27">
        <w:rPr>
          <w:rFonts w:ascii="Arial" w:hAnsi="Arial" w:cs="Arial"/>
          <w:highlight w:val="yellow"/>
        </w:rPr>
        <w:t>Head of Sale</w:t>
      </w:r>
      <w:r w:rsidR="00B65B27" w:rsidRPr="00B65B27">
        <w:rPr>
          <w:rFonts w:ascii="Arial" w:hAnsi="Arial" w:cs="Arial"/>
          <w:highlight w:val="yellow"/>
        </w:rPr>
        <w:t>s&gt;</w:t>
      </w:r>
      <w:r w:rsidRPr="004E4286">
        <w:rPr>
          <w:rFonts w:ascii="Arial" w:hAnsi="Arial" w:cs="Arial"/>
        </w:rPr>
        <w:t xml:space="preserve"> will communicate to you the details, terms and conditions of the special incentive separately from this document.</w:t>
      </w:r>
    </w:p>
    <w:p w14:paraId="3FCB95E7" w14:textId="77777777" w:rsidR="00E756EC" w:rsidRPr="004E4286" w:rsidRDefault="00E756EC" w:rsidP="00E756EC">
      <w:pPr>
        <w:pStyle w:val="BodyText2"/>
        <w:spacing w:after="0" w:line="240" w:lineRule="auto"/>
        <w:jc w:val="both"/>
        <w:rPr>
          <w:rFonts w:ascii="Arial" w:hAnsi="Arial" w:cs="Arial"/>
        </w:rPr>
      </w:pPr>
    </w:p>
    <w:p w14:paraId="0042843B" w14:textId="5D6E60B7" w:rsidR="00E756EC" w:rsidRPr="00324164" w:rsidRDefault="00E756EC" w:rsidP="00B616C6">
      <w:pPr>
        <w:pStyle w:val="Heading4"/>
        <w:numPr>
          <w:ilvl w:val="0"/>
          <w:numId w:val="45"/>
        </w:numPr>
        <w:ind w:left="360"/>
        <w:rPr>
          <w:color w:val="235043"/>
        </w:rPr>
      </w:pPr>
      <w:bookmarkStart w:id="146" w:name="_Toc376861334"/>
      <w:r w:rsidRPr="00324164">
        <w:rPr>
          <w:color w:val="235043"/>
        </w:rPr>
        <w:t xml:space="preserve">Definition of </w:t>
      </w:r>
      <w:r w:rsidR="0050103D">
        <w:rPr>
          <w:color w:val="235043"/>
        </w:rPr>
        <w:t>t</w:t>
      </w:r>
      <w:r w:rsidRPr="00324164">
        <w:rPr>
          <w:color w:val="235043"/>
        </w:rPr>
        <w:t>erms</w:t>
      </w:r>
      <w:bookmarkEnd w:id="146"/>
    </w:p>
    <w:p w14:paraId="12D77F96" w14:textId="77777777" w:rsidR="00E756EC" w:rsidRPr="004E4286" w:rsidRDefault="00E756EC" w:rsidP="00E756EC">
      <w:pPr>
        <w:rPr>
          <w:rFonts w:ascii="Arial" w:hAnsi="Arial" w:cs="Arial"/>
        </w:rPr>
      </w:pPr>
    </w:p>
    <w:p w14:paraId="70466127" w14:textId="4D2BE38D" w:rsidR="00E756EC" w:rsidRPr="004E4286" w:rsidRDefault="00E756EC" w:rsidP="00E756EC">
      <w:pPr>
        <w:pStyle w:val="ListParagraph"/>
        <w:keepLines/>
        <w:numPr>
          <w:ilvl w:val="0"/>
          <w:numId w:val="6"/>
        </w:numPr>
        <w:tabs>
          <w:tab w:val="num" w:pos="360"/>
        </w:tabs>
        <w:ind w:left="360"/>
        <w:jc w:val="both"/>
        <w:outlineLvl w:val="1"/>
        <w:rPr>
          <w:rFonts w:ascii="Arial" w:hAnsi="Arial" w:cs="Arial"/>
          <w:color w:val="000000"/>
        </w:rPr>
      </w:pPr>
      <w:r w:rsidRPr="004E4286">
        <w:rPr>
          <w:rFonts w:ascii="Arial" w:hAnsi="Arial" w:cs="Arial"/>
          <w:b/>
          <w:color w:val="000000"/>
        </w:rPr>
        <w:t>Accelerator</w:t>
      </w:r>
      <w:r>
        <w:rPr>
          <w:rFonts w:ascii="Arial" w:hAnsi="Arial" w:cs="Arial"/>
          <w:color w:val="000000"/>
        </w:rPr>
        <w:t xml:space="preserve"> – I</w:t>
      </w:r>
      <w:r w:rsidRPr="004E4286">
        <w:rPr>
          <w:rFonts w:ascii="Arial" w:hAnsi="Arial" w:cs="Arial"/>
          <w:color w:val="000000"/>
        </w:rPr>
        <w:t xml:space="preserve">ncreased payout rate for performance above quota.  Please see “Plan Document” for </w:t>
      </w:r>
      <w:r w:rsidR="00B65B27">
        <w:rPr>
          <w:rFonts w:ascii="Arial" w:hAnsi="Arial" w:cs="Arial"/>
          <w:color w:val="000000"/>
        </w:rPr>
        <w:t>the</w:t>
      </w:r>
      <w:r w:rsidRPr="004E4286">
        <w:rPr>
          <w:rFonts w:ascii="Arial" w:hAnsi="Arial" w:cs="Arial"/>
          <w:color w:val="000000"/>
        </w:rPr>
        <w:t xml:space="preserve"> job’s accelerator rates. </w:t>
      </w:r>
    </w:p>
    <w:p w14:paraId="5709FE33" w14:textId="6A41154B" w:rsidR="00E756EC" w:rsidRPr="004E4286" w:rsidRDefault="00E756EC" w:rsidP="00E756EC">
      <w:pPr>
        <w:pStyle w:val="ListParagraph"/>
        <w:keepLines/>
        <w:numPr>
          <w:ilvl w:val="0"/>
          <w:numId w:val="6"/>
        </w:numPr>
        <w:tabs>
          <w:tab w:val="num" w:pos="360"/>
        </w:tabs>
        <w:ind w:left="360"/>
        <w:jc w:val="both"/>
        <w:outlineLvl w:val="1"/>
        <w:rPr>
          <w:rFonts w:ascii="Arial" w:hAnsi="Arial" w:cs="Arial"/>
        </w:rPr>
      </w:pPr>
      <w:r w:rsidRPr="004E4286">
        <w:rPr>
          <w:rFonts w:ascii="Arial" w:hAnsi="Arial" w:cs="Arial"/>
          <w:b/>
          <w:color w:val="000000"/>
        </w:rPr>
        <w:t xml:space="preserve">Base </w:t>
      </w:r>
      <w:r w:rsidR="001259D0">
        <w:rPr>
          <w:rFonts w:ascii="Arial" w:hAnsi="Arial" w:cs="Arial"/>
          <w:b/>
          <w:color w:val="000000"/>
        </w:rPr>
        <w:t>sa</w:t>
      </w:r>
      <w:r w:rsidRPr="004E4286">
        <w:rPr>
          <w:rFonts w:ascii="Arial" w:hAnsi="Arial" w:cs="Arial"/>
          <w:b/>
          <w:color w:val="000000"/>
        </w:rPr>
        <w:t>lary</w:t>
      </w:r>
      <w:r w:rsidRPr="004E4286">
        <w:rPr>
          <w:rFonts w:ascii="Arial" w:hAnsi="Arial" w:cs="Arial"/>
          <w:color w:val="000000"/>
        </w:rPr>
        <w:t xml:space="preserve"> – Fixed payment adjusted to reflect cost of labor, negotiated settlement, knowledge, skills, abilities and </w:t>
      </w:r>
      <w:r w:rsidRPr="004E4286">
        <w:rPr>
          <w:rFonts w:ascii="Arial" w:hAnsi="Arial" w:cs="Arial"/>
        </w:rPr>
        <w:t>performance.   It excludes commissions, incentive compensation, bonuses, premiums</w:t>
      </w:r>
      <w:r w:rsidR="001259D0">
        <w:rPr>
          <w:rFonts w:ascii="Arial" w:hAnsi="Arial" w:cs="Arial"/>
        </w:rPr>
        <w:t>,</w:t>
      </w:r>
      <w:r w:rsidRPr="004E4286">
        <w:rPr>
          <w:rFonts w:ascii="Arial" w:hAnsi="Arial" w:cs="Arial"/>
        </w:rPr>
        <w:t xml:space="preserve"> or other allowances. </w:t>
      </w:r>
    </w:p>
    <w:p w14:paraId="3569BF1F" w14:textId="6C58EE18" w:rsidR="00E756EC" w:rsidRPr="004E4286" w:rsidRDefault="00E756EC" w:rsidP="00E756EC">
      <w:pPr>
        <w:pStyle w:val="ListParagraph"/>
        <w:keepLines/>
        <w:numPr>
          <w:ilvl w:val="0"/>
          <w:numId w:val="6"/>
        </w:numPr>
        <w:tabs>
          <w:tab w:val="num" w:pos="360"/>
        </w:tabs>
        <w:ind w:left="360"/>
        <w:jc w:val="both"/>
        <w:outlineLvl w:val="1"/>
        <w:rPr>
          <w:rFonts w:ascii="Arial" w:hAnsi="Arial" w:cs="Arial"/>
          <w:color w:val="000000"/>
        </w:rPr>
      </w:pPr>
      <w:r w:rsidRPr="004E4286">
        <w:rPr>
          <w:rFonts w:ascii="Arial" w:hAnsi="Arial" w:cs="Arial"/>
          <w:b/>
          <w:color w:val="000000"/>
        </w:rPr>
        <w:t>Individual Commission Rate</w:t>
      </w:r>
      <w:r w:rsidRPr="004E4286">
        <w:rPr>
          <w:rFonts w:ascii="Arial" w:hAnsi="Arial" w:cs="Arial"/>
          <w:color w:val="000000"/>
        </w:rPr>
        <w:t xml:space="preserve"> – A payout mechanic that </w:t>
      </w:r>
      <w:r w:rsidR="00AC014E">
        <w:rPr>
          <w:rFonts w:ascii="Arial" w:hAnsi="Arial" w:cs="Arial"/>
          <w:color w:val="000000"/>
        </w:rPr>
        <w:t>compensates a</w:t>
      </w:r>
      <w:r w:rsidRPr="004E4286">
        <w:rPr>
          <w:rFonts w:ascii="Arial" w:hAnsi="Arial" w:cs="Arial"/>
          <w:color w:val="000000"/>
        </w:rPr>
        <w:t xml:space="preserve"> </w:t>
      </w:r>
      <w:r w:rsidR="00AC014E">
        <w:rPr>
          <w:rFonts w:ascii="Arial" w:hAnsi="Arial" w:cs="Arial"/>
          <w:color w:val="000000"/>
        </w:rPr>
        <w:t xml:space="preserve">Participant </w:t>
      </w:r>
      <w:r w:rsidRPr="004E4286">
        <w:rPr>
          <w:rFonts w:ascii="Arial" w:hAnsi="Arial" w:cs="Arial"/>
          <w:color w:val="000000"/>
        </w:rPr>
        <w:t xml:space="preserve">by multiplying a rate </w:t>
      </w:r>
      <w:r w:rsidR="00AC014E">
        <w:rPr>
          <w:rFonts w:ascii="Arial" w:hAnsi="Arial" w:cs="Arial"/>
          <w:color w:val="000000"/>
        </w:rPr>
        <w:t>by that Participant’s</w:t>
      </w:r>
      <w:r w:rsidRPr="004E4286">
        <w:rPr>
          <w:rFonts w:ascii="Arial" w:hAnsi="Arial" w:cs="Arial"/>
          <w:color w:val="000000"/>
        </w:rPr>
        <w:t xml:space="preserve"> sales achievement</w:t>
      </w:r>
      <w:r>
        <w:rPr>
          <w:rFonts w:ascii="Arial" w:hAnsi="Arial" w:cs="Arial"/>
          <w:color w:val="000000"/>
        </w:rPr>
        <w:t xml:space="preserve">.  </w:t>
      </w:r>
      <w:r w:rsidRPr="004E4286">
        <w:rPr>
          <w:rFonts w:ascii="Arial" w:hAnsi="Arial" w:cs="Arial"/>
          <w:color w:val="000000"/>
        </w:rPr>
        <w:t>A</w:t>
      </w:r>
      <w:r w:rsidR="00A24229">
        <w:rPr>
          <w:rFonts w:ascii="Arial" w:hAnsi="Arial" w:cs="Arial"/>
          <w:color w:val="000000"/>
        </w:rPr>
        <w:t xml:space="preserve"> Participant’s </w:t>
      </w:r>
      <w:r w:rsidRPr="004E4286">
        <w:rPr>
          <w:rFonts w:ascii="Arial" w:hAnsi="Arial" w:cs="Arial"/>
          <w:color w:val="000000"/>
        </w:rPr>
        <w:t xml:space="preserve">Individual Commission Rate (ICR) </w:t>
      </w:r>
      <w:r w:rsidR="00A24229">
        <w:rPr>
          <w:rFonts w:ascii="Arial" w:hAnsi="Arial" w:cs="Arial"/>
          <w:color w:val="000000"/>
        </w:rPr>
        <w:t xml:space="preserve">on a given performance measure </w:t>
      </w:r>
      <w:r w:rsidRPr="004E4286">
        <w:rPr>
          <w:rFonts w:ascii="Arial" w:hAnsi="Arial" w:cs="Arial"/>
          <w:color w:val="000000"/>
        </w:rPr>
        <w:t xml:space="preserve">is calculated by dividing </w:t>
      </w:r>
      <w:r w:rsidR="00A24229">
        <w:rPr>
          <w:rFonts w:ascii="Arial" w:hAnsi="Arial" w:cs="Arial"/>
          <w:color w:val="000000"/>
        </w:rPr>
        <w:t>that</w:t>
      </w:r>
      <w:r w:rsidRPr="004E4286">
        <w:rPr>
          <w:rFonts w:ascii="Arial" w:hAnsi="Arial" w:cs="Arial"/>
          <w:color w:val="000000"/>
        </w:rPr>
        <w:t xml:space="preserve"> measure’s target incentive by its quota.   This is illustrated as follows:</w:t>
      </w:r>
    </w:p>
    <w:tbl>
      <w:tblPr>
        <w:tblW w:w="0" w:type="auto"/>
        <w:tblInd w:w="918" w:type="dxa"/>
        <w:tblLook w:val="04A0" w:firstRow="1" w:lastRow="0" w:firstColumn="1" w:lastColumn="0" w:noHBand="0" w:noVBand="1"/>
      </w:tblPr>
      <w:tblGrid>
        <w:gridCol w:w="3780"/>
        <w:gridCol w:w="540"/>
        <w:gridCol w:w="2790"/>
      </w:tblGrid>
      <w:tr w:rsidR="00E756EC" w:rsidRPr="004E4286" w14:paraId="04748D9D" w14:textId="77777777" w:rsidTr="00535EC7">
        <w:tc>
          <w:tcPr>
            <w:tcW w:w="3780" w:type="dxa"/>
            <w:vMerge w:val="restart"/>
            <w:vAlign w:val="center"/>
          </w:tcPr>
          <w:p w14:paraId="34D5E4E0" w14:textId="77777777" w:rsidR="00E756EC" w:rsidRPr="004E4286" w:rsidRDefault="00E756EC" w:rsidP="00535EC7">
            <w:pPr>
              <w:keepLines/>
              <w:tabs>
                <w:tab w:val="num" w:pos="360"/>
              </w:tabs>
              <w:jc w:val="center"/>
              <w:outlineLvl w:val="1"/>
              <w:rPr>
                <w:rFonts w:ascii="Arial" w:hAnsi="Arial" w:cs="Arial"/>
                <w:color w:val="000000"/>
              </w:rPr>
            </w:pPr>
            <w:r w:rsidRPr="004E4286">
              <w:rPr>
                <w:rFonts w:ascii="Arial" w:hAnsi="Arial" w:cs="Arial"/>
                <w:color w:val="000000"/>
              </w:rPr>
              <w:t>Individual Commission Rate (ICR)</w:t>
            </w:r>
          </w:p>
        </w:tc>
        <w:tc>
          <w:tcPr>
            <w:tcW w:w="540" w:type="dxa"/>
            <w:vMerge w:val="restart"/>
            <w:vAlign w:val="center"/>
          </w:tcPr>
          <w:p w14:paraId="0CBA2C56" w14:textId="77777777" w:rsidR="00E756EC" w:rsidRPr="004E4286" w:rsidRDefault="00E756EC" w:rsidP="00535EC7">
            <w:pPr>
              <w:keepLines/>
              <w:tabs>
                <w:tab w:val="num" w:pos="360"/>
              </w:tabs>
              <w:jc w:val="center"/>
              <w:outlineLvl w:val="1"/>
              <w:rPr>
                <w:rFonts w:ascii="Arial" w:hAnsi="Arial" w:cs="Arial"/>
                <w:color w:val="000000"/>
              </w:rPr>
            </w:pPr>
            <w:r w:rsidRPr="004E4286">
              <w:rPr>
                <w:rFonts w:ascii="Arial" w:hAnsi="Arial" w:cs="Arial"/>
                <w:color w:val="000000"/>
              </w:rPr>
              <w:t>=</w:t>
            </w:r>
          </w:p>
        </w:tc>
        <w:tc>
          <w:tcPr>
            <w:tcW w:w="2790" w:type="dxa"/>
            <w:tcBorders>
              <w:bottom w:val="single" w:sz="4" w:space="0" w:color="auto"/>
            </w:tcBorders>
            <w:vAlign w:val="center"/>
          </w:tcPr>
          <w:p w14:paraId="5D43933E" w14:textId="77777777" w:rsidR="00E756EC" w:rsidRPr="004E4286" w:rsidRDefault="00E756EC" w:rsidP="00535EC7">
            <w:pPr>
              <w:keepLines/>
              <w:tabs>
                <w:tab w:val="num" w:pos="360"/>
              </w:tabs>
              <w:jc w:val="center"/>
              <w:outlineLvl w:val="1"/>
              <w:rPr>
                <w:rFonts w:ascii="Arial" w:hAnsi="Arial" w:cs="Arial"/>
                <w:color w:val="000000"/>
              </w:rPr>
            </w:pPr>
            <w:r w:rsidRPr="004E4286">
              <w:rPr>
                <w:rFonts w:ascii="Arial" w:hAnsi="Arial" w:cs="Arial"/>
                <w:color w:val="000000"/>
              </w:rPr>
              <w:t>Target Incentive</w:t>
            </w:r>
          </w:p>
        </w:tc>
      </w:tr>
      <w:tr w:rsidR="00E756EC" w:rsidRPr="004E4286" w14:paraId="4085BDB2" w14:textId="77777777" w:rsidTr="00535EC7">
        <w:tc>
          <w:tcPr>
            <w:tcW w:w="3780" w:type="dxa"/>
            <w:vMerge/>
            <w:vAlign w:val="center"/>
          </w:tcPr>
          <w:p w14:paraId="06697C95" w14:textId="77777777" w:rsidR="00E756EC" w:rsidRPr="004E4286" w:rsidRDefault="00E756EC" w:rsidP="00535EC7">
            <w:pPr>
              <w:pStyle w:val="ListParagraph"/>
              <w:keepLines/>
              <w:numPr>
                <w:ilvl w:val="0"/>
                <w:numId w:val="6"/>
              </w:numPr>
              <w:tabs>
                <w:tab w:val="num" w:pos="360"/>
              </w:tabs>
              <w:ind w:left="360"/>
              <w:jc w:val="center"/>
              <w:outlineLvl w:val="1"/>
              <w:rPr>
                <w:rFonts w:ascii="Arial" w:hAnsi="Arial" w:cs="Arial"/>
                <w:color w:val="000000"/>
              </w:rPr>
            </w:pPr>
          </w:p>
        </w:tc>
        <w:tc>
          <w:tcPr>
            <w:tcW w:w="540" w:type="dxa"/>
            <w:vMerge/>
            <w:vAlign w:val="center"/>
          </w:tcPr>
          <w:p w14:paraId="17DD0A9E" w14:textId="77777777" w:rsidR="00E756EC" w:rsidRPr="004E4286" w:rsidRDefault="00E756EC" w:rsidP="00535EC7">
            <w:pPr>
              <w:pStyle w:val="ListParagraph"/>
              <w:keepLines/>
              <w:numPr>
                <w:ilvl w:val="0"/>
                <w:numId w:val="6"/>
              </w:numPr>
              <w:tabs>
                <w:tab w:val="num" w:pos="360"/>
              </w:tabs>
              <w:ind w:left="360"/>
              <w:jc w:val="center"/>
              <w:outlineLvl w:val="1"/>
              <w:rPr>
                <w:rFonts w:ascii="Arial" w:hAnsi="Arial" w:cs="Arial"/>
                <w:color w:val="000000"/>
              </w:rPr>
            </w:pPr>
          </w:p>
        </w:tc>
        <w:tc>
          <w:tcPr>
            <w:tcW w:w="2790" w:type="dxa"/>
            <w:tcBorders>
              <w:top w:val="single" w:sz="4" w:space="0" w:color="auto"/>
            </w:tcBorders>
            <w:vAlign w:val="center"/>
          </w:tcPr>
          <w:p w14:paraId="15ED0281" w14:textId="77777777" w:rsidR="00E756EC" w:rsidRPr="004E4286" w:rsidRDefault="00E756EC" w:rsidP="00535EC7">
            <w:pPr>
              <w:keepLines/>
              <w:tabs>
                <w:tab w:val="num" w:pos="360"/>
              </w:tabs>
              <w:jc w:val="center"/>
              <w:outlineLvl w:val="1"/>
              <w:rPr>
                <w:rFonts w:ascii="Arial" w:hAnsi="Arial" w:cs="Arial"/>
                <w:color w:val="000000"/>
              </w:rPr>
            </w:pPr>
            <w:r w:rsidRPr="004E4286">
              <w:rPr>
                <w:rFonts w:ascii="Arial" w:hAnsi="Arial" w:cs="Arial"/>
                <w:color w:val="000000"/>
              </w:rPr>
              <w:t>Quota</w:t>
            </w:r>
          </w:p>
        </w:tc>
      </w:tr>
    </w:tbl>
    <w:p w14:paraId="65CB1D4B" w14:textId="0AF68696" w:rsidR="00E756EC" w:rsidRPr="00B76BD4" w:rsidRDefault="00E756EC" w:rsidP="00E756EC">
      <w:pPr>
        <w:pStyle w:val="ListParagraph"/>
        <w:keepLines/>
        <w:ind w:left="360"/>
        <w:jc w:val="both"/>
        <w:outlineLvl w:val="1"/>
        <w:rPr>
          <w:rFonts w:ascii="Arial" w:hAnsi="Arial" w:cs="Arial"/>
          <w:color w:val="000000"/>
        </w:rPr>
      </w:pPr>
      <w:r>
        <w:rPr>
          <w:rFonts w:ascii="Arial" w:hAnsi="Arial" w:cs="Arial"/>
          <w:color w:val="000000"/>
        </w:rPr>
        <w:t>For example, $100,000 Target Incentive / $2,000,000 Quota = 5%</w:t>
      </w:r>
      <w:r w:rsidR="00A24229">
        <w:rPr>
          <w:rFonts w:ascii="Arial" w:hAnsi="Arial" w:cs="Arial"/>
          <w:color w:val="000000"/>
        </w:rPr>
        <w:t xml:space="preserve"> ICR.</w:t>
      </w:r>
    </w:p>
    <w:p w14:paraId="3C2FB8F6" w14:textId="1C790D9F" w:rsidR="00E756EC" w:rsidRPr="004E4286" w:rsidRDefault="00E756EC" w:rsidP="00E756EC">
      <w:pPr>
        <w:pStyle w:val="ListParagraph"/>
        <w:keepLines/>
        <w:numPr>
          <w:ilvl w:val="0"/>
          <w:numId w:val="6"/>
        </w:numPr>
        <w:tabs>
          <w:tab w:val="num" w:pos="360"/>
        </w:tabs>
        <w:ind w:left="360"/>
        <w:jc w:val="both"/>
        <w:outlineLvl w:val="1"/>
        <w:rPr>
          <w:rFonts w:ascii="Arial" w:hAnsi="Arial" w:cs="Arial"/>
          <w:color w:val="000000"/>
        </w:rPr>
      </w:pPr>
      <w:r w:rsidRPr="004E4286">
        <w:rPr>
          <w:rFonts w:ascii="Arial" w:hAnsi="Arial" w:cs="Arial"/>
          <w:b/>
          <w:color w:val="000000"/>
        </w:rPr>
        <w:t xml:space="preserve">Payment </w:t>
      </w:r>
      <w:r w:rsidR="008A172B">
        <w:rPr>
          <w:rFonts w:ascii="Arial" w:hAnsi="Arial" w:cs="Arial"/>
          <w:b/>
          <w:color w:val="000000"/>
        </w:rPr>
        <w:t>f</w:t>
      </w:r>
      <w:r w:rsidRPr="004E4286">
        <w:rPr>
          <w:rFonts w:ascii="Arial" w:hAnsi="Arial" w:cs="Arial"/>
          <w:b/>
          <w:color w:val="000000"/>
        </w:rPr>
        <w:t>requency</w:t>
      </w:r>
      <w:r w:rsidRPr="004E4286">
        <w:rPr>
          <w:rFonts w:ascii="Arial" w:hAnsi="Arial" w:cs="Arial"/>
          <w:color w:val="000000"/>
        </w:rPr>
        <w:t xml:space="preserve"> – How often incentive earnings are paid on a performance measure.  </w:t>
      </w:r>
    </w:p>
    <w:p w14:paraId="0DD792BB" w14:textId="6C221037" w:rsidR="00E756EC" w:rsidRPr="004E4286" w:rsidRDefault="00E756EC" w:rsidP="00E756EC">
      <w:pPr>
        <w:pStyle w:val="ListParagraph"/>
        <w:keepLines/>
        <w:numPr>
          <w:ilvl w:val="0"/>
          <w:numId w:val="6"/>
        </w:numPr>
        <w:tabs>
          <w:tab w:val="num" w:pos="360"/>
        </w:tabs>
        <w:ind w:left="360"/>
        <w:jc w:val="both"/>
        <w:outlineLvl w:val="1"/>
        <w:rPr>
          <w:rFonts w:ascii="Arial" w:hAnsi="Arial" w:cs="Arial"/>
          <w:color w:val="000000"/>
        </w:rPr>
      </w:pPr>
      <w:r w:rsidRPr="004E4286">
        <w:rPr>
          <w:rFonts w:ascii="Arial" w:hAnsi="Arial" w:cs="Arial"/>
          <w:b/>
          <w:color w:val="000000"/>
        </w:rPr>
        <w:t xml:space="preserve">Pay </w:t>
      </w:r>
      <w:r w:rsidR="008A172B">
        <w:rPr>
          <w:rFonts w:ascii="Arial" w:hAnsi="Arial" w:cs="Arial"/>
          <w:b/>
          <w:color w:val="000000"/>
        </w:rPr>
        <w:t>n</w:t>
      </w:r>
      <w:r w:rsidRPr="004E4286">
        <w:rPr>
          <w:rFonts w:ascii="Arial" w:hAnsi="Arial" w:cs="Arial"/>
          <w:b/>
          <w:color w:val="000000"/>
        </w:rPr>
        <w:t>ix</w:t>
      </w:r>
      <w:r w:rsidRPr="004E4286">
        <w:rPr>
          <w:rFonts w:ascii="Arial" w:hAnsi="Arial" w:cs="Arial"/>
          <w:color w:val="000000"/>
        </w:rPr>
        <w:t xml:space="preserve"> – Ratio of base salary and target incentive to </w:t>
      </w:r>
      <w:r>
        <w:rPr>
          <w:rFonts w:ascii="Arial" w:hAnsi="Arial" w:cs="Arial"/>
          <w:color w:val="000000"/>
        </w:rPr>
        <w:t xml:space="preserve">Target Total Compensation </w:t>
      </w:r>
      <w:r w:rsidRPr="004E4286">
        <w:rPr>
          <w:rFonts w:ascii="Arial" w:hAnsi="Arial" w:cs="Arial"/>
          <w:color w:val="000000"/>
        </w:rPr>
        <w:t>(</w:t>
      </w:r>
      <w:r>
        <w:rPr>
          <w:rFonts w:ascii="Arial" w:hAnsi="Arial" w:cs="Arial"/>
          <w:color w:val="000000"/>
        </w:rPr>
        <w:t>TTC</w:t>
      </w:r>
      <w:r w:rsidRPr="004E4286">
        <w:rPr>
          <w:rFonts w:ascii="Arial" w:hAnsi="Arial" w:cs="Arial"/>
          <w:color w:val="000000"/>
        </w:rPr>
        <w:t xml:space="preserve">); e.g., 60/40 means 60% of </w:t>
      </w:r>
      <w:r>
        <w:rPr>
          <w:rFonts w:ascii="Arial" w:hAnsi="Arial" w:cs="Arial"/>
          <w:color w:val="000000"/>
        </w:rPr>
        <w:t>TTC</w:t>
      </w:r>
      <w:r w:rsidRPr="004E4286">
        <w:rPr>
          <w:rFonts w:ascii="Arial" w:hAnsi="Arial" w:cs="Arial"/>
          <w:color w:val="000000"/>
        </w:rPr>
        <w:t xml:space="preserve"> is base salary and 40% of </w:t>
      </w:r>
      <w:r>
        <w:rPr>
          <w:rFonts w:ascii="Arial" w:hAnsi="Arial" w:cs="Arial"/>
          <w:color w:val="000000"/>
        </w:rPr>
        <w:t>TTC</w:t>
      </w:r>
      <w:r w:rsidRPr="004E4286">
        <w:rPr>
          <w:rFonts w:ascii="Arial" w:hAnsi="Arial" w:cs="Arial"/>
          <w:color w:val="000000"/>
        </w:rPr>
        <w:t xml:space="preserve"> is the target incentive (TI)</w:t>
      </w:r>
      <w:r w:rsidR="008A172B">
        <w:rPr>
          <w:rFonts w:ascii="Arial" w:hAnsi="Arial" w:cs="Arial"/>
          <w:color w:val="000000"/>
        </w:rPr>
        <w:t>.</w:t>
      </w:r>
    </w:p>
    <w:p w14:paraId="2224CFD9" w14:textId="3A8A2EB4" w:rsidR="00E756EC" w:rsidRPr="004E4286" w:rsidRDefault="00E756EC" w:rsidP="00E756EC">
      <w:pPr>
        <w:pStyle w:val="ListParagraph"/>
        <w:keepLines/>
        <w:numPr>
          <w:ilvl w:val="0"/>
          <w:numId w:val="6"/>
        </w:numPr>
        <w:ind w:left="360"/>
        <w:jc w:val="both"/>
        <w:outlineLvl w:val="1"/>
        <w:rPr>
          <w:rFonts w:ascii="Arial" w:hAnsi="Arial" w:cs="Arial"/>
        </w:rPr>
      </w:pPr>
      <w:r w:rsidRPr="004E4286">
        <w:rPr>
          <w:rFonts w:ascii="Arial" w:hAnsi="Arial" w:cs="Arial"/>
          <w:b/>
        </w:rPr>
        <w:t xml:space="preserve">Performance </w:t>
      </w:r>
      <w:r w:rsidR="00695208">
        <w:rPr>
          <w:rFonts w:ascii="Arial" w:hAnsi="Arial" w:cs="Arial"/>
          <w:b/>
        </w:rPr>
        <w:t>p</w:t>
      </w:r>
      <w:r w:rsidRPr="004E4286">
        <w:rPr>
          <w:rFonts w:ascii="Arial" w:hAnsi="Arial" w:cs="Arial"/>
          <w:b/>
        </w:rPr>
        <w:t>eriod</w:t>
      </w:r>
      <w:r w:rsidRPr="004E4286">
        <w:rPr>
          <w:rFonts w:ascii="Arial" w:hAnsi="Arial" w:cs="Arial"/>
        </w:rPr>
        <w:t xml:space="preserve"> – Time period between when</w:t>
      </w:r>
      <w:r w:rsidR="00B50B9C">
        <w:rPr>
          <w:rFonts w:ascii="Arial" w:hAnsi="Arial" w:cs="Arial"/>
        </w:rPr>
        <w:t xml:space="preserve"> the</w:t>
      </w:r>
      <w:r w:rsidRPr="004E4286">
        <w:rPr>
          <w:rFonts w:ascii="Arial" w:hAnsi="Arial" w:cs="Arial"/>
        </w:rPr>
        <w:t xml:space="preserve"> </w:t>
      </w:r>
      <w:r w:rsidR="008A172B">
        <w:rPr>
          <w:rFonts w:ascii="Arial" w:hAnsi="Arial" w:cs="Arial"/>
        </w:rPr>
        <w:t>C</w:t>
      </w:r>
      <w:r w:rsidRPr="004E4286">
        <w:rPr>
          <w:rFonts w:ascii="Arial" w:hAnsi="Arial" w:cs="Arial"/>
        </w:rPr>
        <w:t>ompany begins counting performance and the point at which the counting stops</w:t>
      </w:r>
      <w:r w:rsidR="008A172B">
        <w:rPr>
          <w:rFonts w:ascii="Arial" w:hAnsi="Arial" w:cs="Arial"/>
        </w:rPr>
        <w:t>.</w:t>
      </w:r>
    </w:p>
    <w:p w14:paraId="79468F58" w14:textId="2E25702D" w:rsidR="00E756EC" w:rsidRPr="00D046A2" w:rsidRDefault="00E756EC" w:rsidP="00E756EC">
      <w:pPr>
        <w:pStyle w:val="ListParagraph"/>
        <w:keepLines/>
        <w:numPr>
          <w:ilvl w:val="0"/>
          <w:numId w:val="6"/>
        </w:numPr>
        <w:ind w:left="360"/>
        <w:jc w:val="both"/>
        <w:outlineLvl w:val="1"/>
        <w:rPr>
          <w:rFonts w:ascii="Arial" w:hAnsi="Arial" w:cs="Arial"/>
        </w:rPr>
      </w:pPr>
      <w:r w:rsidRPr="004E4286">
        <w:rPr>
          <w:rFonts w:ascii="Arial" w:hAnsi="Arial" w:cs="Arial"/>
          <w:b/>
        </w:rPr>
        <w:t xml:space="preserve">Plan </w:t>
      </w:r>
      <w:r w:rsidR="00695208">
        <w:rPr>
          <w:rFonts w:ascii="Arial" w:hAnsi="Arial" w:cs="Arial"/>
          <w:b/>
        </w:rPr>
        <w:t>P</w:t>
      </w:r>
      <w:r w:rsidRPr="004E4286">
        <w:rPr>
          <w:rFonts w:ascii="Arial" w:hAnsi="Arial" w:cs="Arial"/>
          <w:b/>
        </w:rPr>
        <w:t>eriod</w:t>
      </w:r>
      <w:r w:rsidRPr="004E4286">
        <w:rPr>
          <w:rFonts w:ascii="Arial" w:hAnsi="Arial" w:cs="Arial"/>
        </w:rPr>
        <w:t xml:space="preserve"> – The time frame covered by this Plan. The Plan Period begins </w:t>
      </w:r>
      <w:r w:rsidRPr="003062AF">
        <w:rPr>
          <w:rFonts w:ascii="Arial" w:hAnsi="Arial" w:cs="Arial"/>
          <w:highlight w:val="yellow"/>
        </w:rPr>
        <w:t>January 1, 20</w:t>
      </w:r>
      <w:r w:rsidR="003062AF">
        <w:rPr>
          <w:rFonts w:ascii="Arial" w:hAnsi="Arial" w:cs="Arial"/>
          <w:highlight w:val="yellow"/>
        </w:rPr>
        <w:t>XX</w:t>
      </w:r>
      <w:r w:rsidRPr="004E4286">
        <w:rPr>
          <w:rFonts w:ascii="Arial" w:hAnsi="Arial" w:cs="Arial"/>
        </w:rPr>
        <w:t xml:space="preserve"> or the Participant’s start date (whichever is later) and ends </w:t>
      </w:r>
      <w:r w:rsidRPr="003062AF">
        <w:rPr>
          <w:rFonts w:ascii="Arial" w:hAnsi="Arial" w:cs="Arial"/>
          <w:highlight w:val="yellow"/>
        </w:rPr>
        <w:t>December 31</w:t>
      </w:r>
      <w:r w:rsidRPr="003062AF">
        <w:rPr>
          <w:rFonts w:ascii="Arial" w:hAnsi="Arial" w:cs="Arial"/>
          <w:highlight w:val="yellow"/>
          <w:vertAlign w:val="superscript"/>
        </w:rPr>
        <w:t>st</w:t>
      </w:r>
      <w:r w:rsidRPr="003062AF">
        <w:rPr>
          <w:rFonts w:ascii="Arial" w:hAnsi="Arial" w:cs="Arial"/>
          <w:highlight w:val="yellow"/>
        </w:rPr>
        <w:t>, 20</w:t>
      </w:r>
      <w:r w:rsidR="003062AF" w:rsidRPr="003062AF">
        <w:rPr>
          <w:rFonts w:ascii="Arial" w:hAnsi="Arial" w:cs="Arial"/>
          <w:highlight w:val="yellow"/>
        </w:rPr>
        <w:t>XX</w:t>
      </w:r>
      <w:r w:rsidRPr="004E4286">
        <w:rPr>
          <w:rFonts w:ascii="Arial" w:hAnsi="Arial" w:cs="Arial"/>
        </w:rPr>
        <w:t xml:space="preserve"> or until another plan replaces this one (whichever is later).</w:t>
      </w:r>
    </w:p>
    <w:p w14:paraId="22F6292B" w14:textId="78FE0BAA" w:rsidR="00E756EC" w:rsidRPr="00D046A2" w:rsidRDefault="00E756EC" w:rsidP="00E756EC">
      <w:pPr>
        <w:pStyle w:val="ListParagraph"/>
        <w:keepLines/>
        <w:numPr>
          <w:ilvl w:val="0"/>
          <w:numId w:val="6"/>
        </w:numPr>
        <w:ind w:left="360"/>
        <w:jc w:val="both"/>
        <w:outlineLvl w:val="1"/>
        <w:rPr>
          <w:rFonts w:ascii="Arial" w:hAnsi="Arial" w:cs="Arial"/>
          <w:color w:val="000000"/>
        </w:rPr>
      </w:pPr>
      <w:r>
        <w:rPr>
          <w:rFonts w:ascii="Arial" w:hAnsi="Arial" w:cs="Arial"/>
          <w:b/>
        </w:rPr>
        <w:t xml:space="preserve">Quota – </w:t>
      </w:r>
      <w:r w:rsidRPr="00D046A2">
        <w:rPr>
          <w:rFonts w:ascii="Arial" w:hAnsi="Arial" w:cs="Arial"/>
        </w:rPr>
        <w:t xml:space="preserve">Quota is defined as the expected performance for a Participant for each quarter in the Plan Period.  </w:t>
      </w:r>
      <w:r w:rsidR="00DB40F0">
        <w:rPr>
          <w:rFonts w:ascii="Arial" w:hAnsi="Arial" w:cs="Arial"/>
        </w:rPr>
        <w:t>A Participant’s i</w:t>
      </w:r>
      <w:r w:rsidRPr="00D046A2">
        <w:rPr>
          <w:rFonts w:ascii="Arial" w:hAnsi="Arial" w:cs="Arial"/>
        </w:rPr>
        <w:t>ncentive</w:t>
      </w:r>
      <w:r w:rsidR="00992D32">
        <w:rPr>
          <w:rFonts w:ascii="Arial" w:hAnsi="Arial" w:cs="Arial"/>
        </w:rPr>
        <w:t xml:space="preserve">s </w:t>
      </w:r>
      <w:r w:rsidRPr="00D046A2">
        <w:rPr>
          <w:rFonts w:ascii="Arial" w:hAnsi="Arial" w:cs="Arial"/>
        </w:rPr>
        <w:t xml:space="preserve">will be measured by performance against </w:t>
      </w:r>
      <w:r w:rsidR="00DB40F0">
        <w:rPr>
          <w:rFonts w:ascii="Arial" w:hAnsi="Arial" w:cs="Arial"/>
        </w:rPr>
        <w:t>their</w:t>
      </w:r>
      <w:r w:rsidRPr="00D046A2">
        <w:rPr>
          <w:rFonts w:ascii="Arial" w:hAnsi="Arial" w:cs="Arial"/>
        </w:rPr>
        <w:t xml:space="preserve"> </w:t>
      </w:r>
      <w:r w:rsidR="008210E8">
        <w:rPr>
          <w:rFonts w:ascii="Arial" w:hAnsi="Arial" w:cs="Arial"/>
        </w:rPr>
        <w:t>q</w:t>
      </w:r>
      <w:r w:rsidRPr="00D046A2">
        <w:rPr>
          <w:rFonts w:ascii="Arial" w:hAnsi="Arial" w:cs="Arial"/>
        </w:rPr>
        <w:t xml:space="preserve">uota. Some Participants may have more than one </w:t>
      </w:r>
      <w:r w:rsidR="008210E8">
        <w:rPr>
          <w:rFonts w:ascii="Arial" w:hAnsi="Arial" w:cs="Arial"/>
        </w:rPr>
        <w:t>q</w:t>
      </w:r>
      <w:r w:rsidRPr="00D046A2">
        <w:rPr>
          <w:rFonts w:ascii="Arial" w:hAnsi="Arial" w:cs="Arial"/>
        </w:rPr>
        <w:t>uota</w:t>
      </w:r>
      <w:r>
        <w:rPr>
          <w:rFonts w:ascii="Arial" w:hAnsi="Arial" w:cs="Arial"/>
        </w:rPr>
        <w:t>.</w:t>
      </w:r>
    </w:p>
    <w:p w14:paraId="58961662" w14:textId="6D27F7FA" w:rsidR="00E756EC" w:rsidRPr="00971ED5" w:rsidRDefault="00E756EC" w:rsidP="00E756EC">
      <w:pPr>
        <w:pStyle w:val="ListParagraph"/>
        <w:keepLines/>
        <w:numPr>
          <w:ilvl w:val="0"/>
          <w:numId w:val="6"/>
        </w:numPr>
        <w:tabs>
          <w:tab w:val="num" w:pos="360"/>
        </w:tabs>
        <w:ind w:left="360"/>
        <w:jc w:val="both"/>
        <w:outlineLvl w:val="1"/>
        <w:rPr>
          <w:rFonts w:ascii="Arial" w:hAnsi="Arial" w:cs="Arial"/>
          <w:color w:val="000000"/>
        </w:rPr>
      </w:pPr>
      <w:r w:rsidRPr="004E4286">
        <w:rPr>
          <w:rFonts w:ascii="Arial" w:hAnsi="Arial" w:cs="Arial"/>
          <w:b/>
        </w:rPr>
        <w:t xml:space="preserve">Recoverable </w:t>
      </w:r>
      <w:r w:rsidR="00822A9C">
        <w:rPr>
          <w:rFonts w:ascii="Arial" w:hAnsi="Arial" w:cs="Arial"/>
          <w:b/>
        </w:rPr>
        <w:t>d</w:t>
      </w:r>
      <w:r w:rsidRPr="004E4286">
        <w:rPr>
          <w:rFonts w:ascii="Arial" w:hAnsi="Arial" w:cs="Arial"/>
          <w:b/>
        </w:rPr>
        <w:t xml:space="preserve">raw – </w:t>
      </w:r>
      <w:r w:rsidRPr="004E4286">
        <w:rPr>
          <w:rFonts w:ascii="Arial" w:hAnsi="Arial" w:cs="Arial"/>
        </w:rPr>
        <w:t>A recoverable draw is an advance o</w:t>
      </w:r>
      <w:r w:rsidR="00BB4534">
        <w:rPr>
          <w:rFonts w:ascii="Arial" w:hAnsi="Arial" w:cs="Arial"/>
        </w:rPr>
        <w:t>n</w:t>
      </w:r>
      <w:r w:rsidRPr="004E4286">
        <w:rPr>
          <w:rFonts w:ascii="Arial" w:hAnsi="Arial" w:cs="Arial"/>
        </w:rPr>
        <w:t xml:space="preserve"> actual </w:t>
      </w:r>
      <w:r>
        <w:rPr>
          <w:rFonts w:ascii="Arial" w:hAnsi="Arial" w:cs="Arial"/>
        </w:rPr>
        <w:t>earnings</w:t>
      </w:r>
      <w:r w:rsidR="00BB4534">
        <w:rPr>
          <w:rFonts w:ascii="Arial" w:hAnsi="Arial" w:cs="Arial"/>
        </w:rPr>
        <w:t xml:space="preserve"> received by a Participant</w:t>
      </w:r>
      <w:r>
        <w:rPr>
          <w:rFonts w:ascii="Arial" w:hAnsi="Arial" w:cs="Arial"/>
        </w:rPr>
        <w:t xml:space="preserve"> for a given period. </w:t>
      </w:r>
      <w:r w:rsidR="00D407AB">
        <w:rPr>
          <w:rFonts w:ascii="Arial" w:hAnsi="Arial" w:cs="Arial"/>
        </w:rPr>
        <w:t xml:space="preserve"> </w:t>
      </w:r>
      <w:r w:rsidRPr="004E4286">
        <w:rPr>
          <w:rFonts w:ascii="Arial" w:hAnsi="Arial" w:cs="Arial"/>
        </w:rPr>
        <w:t>The draw is then recovered (paid back to</w:t>
      </w:r>
      <w:r w:rsidR="00BB4534">
        <w:rPr>
          <w:rFonts w:ascii="Arial" w:hAnsi="Arial" w:cs="Arial"/>
        </w:rPr>
        <w:t xml:space="preserve"> the</w:t>
      </w:r>
      <w:r w:rsidRPr="004E4286">
        <w:rPr>
          <w:rFonts w:ascii="Arial" w:hAnsi="Arial" w:cs="Arial"/>
        </w:rPr>
        <w:t xml:space="preserve"> </w:t>
      </w:r>
      <w:r>
        <w:rPr>
          <w:rFonts w:ascii="Arial" w:hAnsi="Arial" w:cs="Arial"/>
        </w:rPr>
        <w:t>Company</w:t>
      </w:r>
      <w:r w:rsidRPr="004E4286">
        <w:rPr>
          <w:rFonts w:ascii="Arial" w:hAnsi="Arial" w:cs="Arial"/>
        </w:rPr>
        <w:t xml:space="preserve">) in future periods when the </w:t>
      </w:r>
      <w:r w:rsidR="0052641A">
        <w:rPr>
          <w:rFonts w:ascii="Arial" w:hAnsi="Arial" w:cs="Arial"/>
        </w:rPr>
        <w:t>Participant</w:t>
      </w:r>
      <w:r w:rsidRPr="004E4286">
        <w:rPr>
          <w:rFonts w:ascii="Arial" w:hAnsi="Arial" w:cs="Arial"/>
        </w:rPr>
        <w:t xml:space="preserve"> is no longer eligible for</w:t>
      </w:r>
      <w:r w:rsidR="002966AB">
        <w:rPr>
          <w:rFonts w:ascii="Arial" w:hAnsi="Arial" w:cs="Arial"/>
        </w:rPr>
        <w:t xml:space="preserve"> a</w:t>
      </w:r>
      <w:r w:rsidRPr="004E4286">
        <w:rPr>
          <w:rFonts w:ascii="Arial" w:hAnsi="Arial" w:cs="Arial"/>
        </w:rPr>
        <w:t xml:space="preserve"> draw.</w:t>
      </w:r>
    </w:p>
    <w:p w14:paraId="4AAFF8EF" w14:textId="2E50516C" w:rsidR="00971ED5" w:rsidRPr="00971ED5" w:rsidRDefault="00971ED5" w:rsidP="00971ED5">
      <w:pPr>
        <w:pStyle w:val="ListParagraph"/>
        <w:keepLines/>
        <w:numPr>
          <w:ilvl w:val="0"/>
          <w:numId w:val="6"/>
        </w:numPr>
        <w:tabs>
          <w:tab w:val="num" w:pos="360"/>
        </w:tabs>
        <w:ind w:left="360"/>
        <w:jc w:val="both"/>
        <w:outlineLvl w:val="1"/>
        <w:rPr>
          <w:rFonts w:ascii="Arial" w:hAnsi="Arial" w:cs="Arial"/>
          <w:color w:val="000000"/>
        </w:rPr>
      </w:pPr>
      <w:r>
        <w:rPr>
          <w:rFonts w:ascii="Arial" w:hAnsi="Arial" w:cs="Arial"/>
          <w:b/>
        </w:rPr>
        <w:t>Non-r</w:t>
      </w:r>
      <w:r w:rsidRPr="004E4286">
        <w:rPr>
          <w:rFonts w:ascii="Arial" w:hAnsi="Arial" w:cs="Arial"/>
          <w:b/>
        </w:rPr>
        <w:t xml:space="preserve">ecoverable </w:t>
      </w:r>
      <w:r>
        <w:rPr>
          <w:rFonts w:ascii="Arial" w:hAnsi="Arial" w:cs="Arial"/>
          <w:b/>
        </w:rPr>
        <w:t>d</w:t>
      </w:r>
      <w:r w:rsidRPr="004E4286">
        <w:rPr>
          <w:rFonts w:ascii="Arial" w:hAnsi="Arial" w:cs="Arial"/>
          <w:b/>
        </w:rPr>
        <w:t xml:space="preserve">raw – </w:t>
      </w:r>
      <w:r w:rsidRPr="00971ED5">
        <w:rPr>
          <w:rFonts w:ascii="Arial" w:hAnsi="Arial" w:cs="Arial"/>
        </w:rPr>
        <w:t xml:space="preserve">A non-recoverable draw is </w:t>
      </w:r>
      <w:r w:rsidRPr="00971ED5">
        <w:rPr>
          <w:rFonts w:ascii="Arial" w:hAnsi="Arial" w:cs="Arial"/>
          <w:color w:val="001D35"/>
          <w:shd w:val="clear" w:color="auto" w:fill="FFFFFF"/>
        </w:rPr>
        <w:t>a payout that is not contingent on Participant performance and</w:t>
      </w:r>
      <w:r w:rsidRPr="00971ED5">
        <w:rPr>
          <w:rFonts w:ascii="Arial" w:hAnsi="Arial" w:cs="Arial"/>
        </w:rPr>
        <w:t xml:space="preserve"> is not recovered by the Company.</w:t>
      </w:r>
    </w:p>
    <w:p w14:paraId="10E59D8C" w14:textId="79EAB4BD" w:rsidR="00E756EC" w:rsidRPr="004E4286" w:rsidRDefault="00E756EC" w:rsidP="00E756EC">
      <w:pPr>
        <w:pStyle w:val="ListParagraph"/>
        <w:keepLines/>
        <w:numPr>
          <w:ilvl w:val="0"/>
          <w:numId w:val="6"/>
        </w:numPr>
        <w:tabs>
          <w:tab w:val="num" w:pos="360"/>
        </w:tabs>
        <w:ind w:left="360"/>
        <w:jc w:val="both"/>
        <w:outlineLvl w:val="1"/>
        <w:rPr>
          <w:rFonts w:ascii="Arial" w:hAnsi="Arial" w:cs="Arial"/>
          <w:color w:val="000000"/>
        </w:rPr>
      </w:pPr>
      <w:r w:rsidRPr="004E4286">
        <w:rPr>
          <w:rFonts w:ascii="Arial" w:hAnsi="Arial" w:cs="Arial"/>
          <w:b/>
          <w:color w:val="000000"/>
        </w:rPr>
        <w:t xml:space="preserve">Target </w:t>
      </w:r>
      <w:r w:rsidR="00A16AFF">
        <w:rPr>
          <w:rFonts w:ascii="Arial" w:hAnsi="Arial" w:cs="Arial"/>
          <w:b/>
          <w:color w:val="000000"/>
        </w:rPr>
        <w:t>i</w:t>
      </w:r>
      <w:r w:rsidRPr="004E4286">
        <w:rPr>
          <w:rFonts w:ascii="Arial" w:hAnsi="Arial" w:cs="Arial"/>
          <w:b/>
          <w:color w:val="000000"/>
        </w:rPr>
        <w:t>ncentive</w:t>
      </w:r>
      <w:r w:rsidRPr="004E4286">
        <w:rPr>
          <w:rFonts w:ascii="Arial" w:hAnsi="Arial" w:cs="Arial"/>
          <w:color w:val="000000"/>
        </w:rPr>
        <w:t xml:space="preserve"> – Variable compensation at expected (i.e</w:t>
      </w:r>
      <w:r w:rsidRPr="004E4286">
        <w:rPr>
          <w:rFonts w:ascii="Arial" w:hAnsi="Arial" w:cs="Arial"/>
          <w:color w:val="000000"/>
          <w:u w:val="single"/>
        </w:rPr>
        <w:t>.</w:t>
      </w:r>
      <w:r w:rsidRPr="004E4286">
        <w:rPr>
          <w:rFonts w:ascii="Arial" w:hAnsi="Arial" w:cs="Arial"/>
          <w:color w:val="000000"/>
        </w:rPr>
        <w:t>, target) levels of performance for all performance measures in the plan.</w:t>
      </w:r>
    </w:p>
    <w:p w14:paraId="53D9C592" w14:textId="43D76F39" w:rsidR="00E756EC" w:rsidRPr="004E4286" w:rsidRDefault="00E756EC" w:rsidP="00E756EC">
      <w:pPr>
        <w:pStyle w:val="ListParagraph"/>
        <w:keepLines/>
        <w:numPr>
          <w:ilvl w:val="0"/>
          <w:numId w:val="6"/>
        </w:numPr>
        <w:spacing w:after="120"/>
        <w:ind w:left="360"/>
        <w:jc w:val="both"/>
        <w:outlineLvl w:val="1"/>
        <w:rPr>
          <w:rFonts w:ascii="Arial" w:hAnsi="Arial" w:cs="Arial"/>
          <w:color w:val="000000"/>
        </w:rPr>
      </w:pPr>
      <w:r>
        <w:rPr>
          <w:rFonts w:ascii="Arial" w:hAnsi="Arial" w:cs="Arial"/>
          <w:b/>
          <w:color w:val="000000"/>
        </w:rPr>
        <w:t>Target Total Compensation</w:t>
      </w:r>
      <w:r w:rsidRPr="004E4286">
        <w:rPr>
          <w:rFonts w:ascii="Arial" w:hAnsi="Arial" w:cs="Arial"/>
          <w:b/>
          <w:color w:val="000000"/>
        </w:rPr>
        <w:t xml:space="preserve"> (</w:t>
      </w:r>
      <w:r>
        <w:rPr>
          <w:rFonts w:ascii="Arial" w:hAnsi="Arial" w:cs="Arial"/>
          <w:b/>
          <w:color w:val="000000"/>
        </w:rPr>
        <w:t>TTC</w:t>
      </w:r>
      <w:r w:rsidRPr="004E4286">
        <w:rPr>
          <w:rFonts w:ascii="Arial" w:hAnsi="Arial" w:cs="Arial"/>
          <w:b/>
          <w:color w:val="000000"/>
        </w:rPr>
        <w:t>)</w:t>
      </w:r>
      <w:r w:rsidRPr="004E4286">
        <w:rPr>
          <w:rFonts w:ascii="Arial" w:hAnsi="Arial" w:cs="Arial"/>
          <w:color w:val="000000"/>
        </w:rPr>
        <w:t xml:space="preserve"> – The total compensation including base salary and variable incentive at expected levels of performance for all performance measures.  Also known as </w:t>
      </w:r>
      <w:r>
        <w:rPr>
          <w:rFonts w:ascii="Arial" w:hAnsi="Arial" w:cs="Arial"/>
          <w:color w:val="000000"/>
        </w:rPr>
        <w:t>On Target Earnings (OTE)</w:t>
      </w:r>
      <w:r w:rsidRPr="004E4286">
        <w:rPr>
          <w:rFonts w:ascii="Arial" w:hAnsi="Arial" w:cs="Arial"/>
          <w:color w:val="000000"/>
        </w:rPr>
        <w:t xml:space="preserve">.  </w:t>
      </w:r>
      <w:r>
        <w:rPr>
          <w:rFonts w:ascii="Arial" w:hAnsi="Arial" w:cs="Arial"/>
          <w:color w:val="000000"/>
        </w:rPr>
        <w:t>Target Total Compensation levels</w:t>
      </w:r>
      <w:r w:rsidRPr="004E4286">
        <w:rPr>
          <w:rFonts w:ascii="Arial" w:hAnsi="Arial" w:cs="Arial"/>
          <w:color w:val="000000"/>
        </w:rPr>
        <w:t xml:space="preserve"> are reviewed annually to ensure that the Company remains competitive. Typically, any change to any element of a Participant’s </w:t>
      </w:r>
      <w:r>
        <w:rPr>
          <w:rFonts w:ascii="Arial" w:hAnsi="Arial" w:cs="Arial"/>
          <w:color w:val="000000"/>
        </w:rPr>
        <w:t>TTC</w:t>
      </w:r>
      <w:r w:rsidRPr="004E4286">
        <w:rPr>
          <w:rFonts w:ascii="Arial" w:hAnsi="Arial" w:cs="Arial"/>
          <w:color w:val="000000"/>
        </w:rPr>
        <w:t xml:space="preserve"> will be made when the entire Company is </w:t>
      </w:r>
      <w:r w:rsidR="00D407AB">
        <w:rPr>
          <w:rFonts w:ascii="Arial" w:hAnsi="Arial" w:cs="Arial"/>
          <w:color w:val="000000"/>
        </w:rPr>
        <w:t xml:space="preserve">undergoing a compensation </w:t>
      </w:r>
      <w:r w:rsidRPr="004E4286">
        <w:rPr>
          <w:rFonts w:ascii="Arial" w:hAnsi="Arial" w:cs="Arial"/>
          <w:color w:val="000000"/>
        </w:rPr>
        <w:t>review.</w:t>
      </w:r>
    </w:p>
    <w:p w14:paraId="647D5757" w14:textId="32EF2735" w:rsidR="00E756EC" w:rsidRPr="004E4286" w:rsidRDefault="00E756EC" w:rsidP="00E756EC">
      <w:pPr>
        <w:pStyle w:val="ListParagraph"/>
        <w:keepLines/>
        <w:numPr>
          <w:ilvl w:val="0"/>
          <w:numId w:val="6"/>
        </w:numPr>
        <w:tabs>
          <w:tab w:val="num" w:pos="360"/>
        </w:tabs>
        <w:spacing w:after="120"/>
        <w:ind w:left="360"/>
        <w:jc w:val="both"/>
        <w:outlineLvl w:val="1"/>
        <w:rPr>
          <w:rFonts w:ascii="Arial" w:hAnsi="Arial" w:cs="Arial"/>
          <w:color w:val="000000"/>
        </w:rPr>
      </w:pPr>
      <w:r w:rsidRPr="004E4286">
        <w:rPr>
          <w:rFonts w:ascii="Arial" w:hAnsi="Arial" w:cs="Arial"/>
          <w:b/>
          <w:color w:val="000000"/>
        </w:rPr>
        <w:t xml:space="preserve">Upside </w:t>
      </w:r>
      <w:r w:rsidR="00D407AB">
        <w:rPr>
          <w:rFonts w:ascii="Arial" w:hAnsi="Arial" w:cs="Arial"/>
          <w:b/>
          <w:color w:val="000000"/>
        </w:rPr>
        <w:t>o</w:t>
      </w:r>
      <w:r w:rsidRPr="004E4286">
        <w:rPr>
          <w:rFonts w:ascii="Arial" w:hAnsi="Arial" w:cs="Arial"/>
          <w:b/>
          <w:color w:val="000000"/>
        </w:rPr>
        <w:t>pportunity</w:t>
      </w:r>
      <w:r w:rsidRPr="004E4286">
        <w:rPr>
          <w:rFonts w:ascii="Arial" w:hAnsi="Arial" w:cs="Arial"/>
          <w:color w:val="000000"/>
        </w:rPr>
        <w:t xml:space="preserve"> – The amount of incentive pay that is earned at a design point known as </w:t>
      </w:r>
      <w:r w:rsidR="00D407AB">
        <w:rPr>
          <w:rFonts w:ascii="Arial" w:hAnsi="Arial" w:cs="Arial"/>
          <w:color w:val="000000"/>
        </w:rPr>
        <w:t xml:space="preserve">“the point of </w:t>
      </w:r>
      <w:r w:rsidRPr="004E4286">
        <w:rPr>
          <w:rFonts w:ascii="Arial" w:hAnsi="Arial" w:cs="Arial"/>
          <w:color w:val="000000"/>
        </w:rPr>
        <w:t>excellence</w:t>
      </w:r>
      <w:r w:rsidR="00D407AB">
        <w:rPr>
          <w:rFonts w:ascii="Arial" w:hAnsi="Arial" w:cs="Arial"/>
          <w:color w:val="000000"/>
        </w:rPr>
        <w:t>” to reward outstanding performance</w:t>
      </w:r>
      <w:r w:rsidRPr="004E4286">
        <w:rPr>
          <w:rFonts w:ascii="Arial" w:hAnsi="Arial" w:cs="Arial"/>
          <w:color w:val="000000"/>
        </w:rPr>
        <w:t xml:space="preserve"> on a </w:t>
      </w:r>
      <w:r w:rsidR="006D4FB2">
        <w:rPr>
          <w:rFonts w:ascii="Arial" w:hAnsi="Arial" w:cs="Arial"/>
          <w:color w:val="000000"/>
        </w:rPr>
        <w:t>given</w:t>
      </w:r>
      <w:r w:rsidRPr="004E4286">
        <w:rPr>
          <w:rFonts w:ascii="Arial" w:hAnsi="Arial" w:cs="Arial"/>
          <w:color w:val="000000"/>
        </w:rPr>
        <w:t xml:space="preserve"> measure.  Also referred to as leverage.</w:t>
      </w:r>
    </w:p>
    <w:p w14:paraId="62206CFD" w14:textId="34D3953E" w:rsidR="00E756EC" w:rsidRPr="007D1F8A" w:rsidRDefault="00E756EC" w:rsidP="00E756EC">
      <w:pPr>
        <w:pStyle w:val="ListParagraph"/>
        <w:keepLines/>
        <w:numPr>
          <w:ilvl w:val="0"/>
          <w:numId w:val="6"/>
        </w:numPr>
        <w:tabs>
          <w:tab w:val="num" w:pos="360"/>
        </w:tabs>
        <w:spacing w:after="120"/>
        <w:ind w:left="360"/>
        <w:jc w:val="both"/>
        <w:outlineLvl w:val="1"/>
        <w:rPr>
          <w:rFonts w:ascii="Arial" w:hAnsi="Arial" w:cs="Arial"/>
          <w:color w:val="000000"/>
        </w:rPr>
      </w:pPr>
      <w:r w:rsidRPr="004E4286">
        <w:rPr>
          <w:rFonts w:ascii="Arial" w:hAnsi="Arial" w:cs="Arial"/>
          <w:b/>
          <w:color w:val="000000"/>
        </w:rPr>
        <w:t xml:space="preserve">Variable </w:t>
      </w:r>
      <w:r w:rsidR="00442A54">
        <w:rPr>
          <w:rFonts w:ascii="Arial" w:hAnsi="Arial" w:cs="Arial"/>
          <w:b/>
          <w:color w:val="000000"/>
        </w:rPr>
        <w:t>c</w:t>
      </w:r>
      <w:r w:rsidRPr="004E4286">
        <w:rPr>
          <w:rFonts w:ascii="Arial" w:hAnsi="Arial" w:cs="Arial"/>
          <w:b/>
          <w:color w:val="000000"/>
        </w:rPr>
        <w:t>ompensation</w:t>
      </w:r>
      <w:r w:rsidRPr="004E4286">
        <w:rPr>
          <w:rFonts w:ascii="Arial" w:hAnsi="Arial" w:cs="Arial"/>
          <w:color w:val="000000"/>
        </w:rPr>
        <w:t xml:space="preserve"> – See </w:t>
      </w:r>
      <w:r w:rsidR="006D4FB2">
        <w:rPr>
          <w:rFonts w:ascii="Arial" w:hAnsi="Arial" w:cs="Arial"/>
          <w:color w:val="000000"/>
        </w:rPr>
        <w:t>t</w:t>
      </w:r>
      <w:r w:rsidRPr="004E4286">
        <w:rPr>
          <w:rFonts w:ascii="Arial" w:hAnsi="Arial" w:cs="Arial"/>
          <w:color w:val="000000"/>
        </w:rPr>
        <w:t xml:space="preserve">arget </w:t>
      </w:r>
      <w:r w:rsidR="006D4FB2">
        <w:rPr>
          <w:rFonts w:ascii="Arial" w:hAnsi="Arial" w:cs="Arial"/>
          <w:color w:val="000000"/>
        </w:rPr>
        <w:t>i</w:t>
      </w:r>
      <w:r w:rsidRPr="004E4286">
        <w:rPr>
          <w:rFonts w:ascii="Arial" w:hAnsi="Arial" w:cs="Arial"/>
          <w:color w:val="000000"/>
        </w:rPr>
        <w:t>ncentive.</w:t>
      </w:r>
      <w:r w:rsidRPr="007D1F8A">
        <w:rPr>
          <w:rFonts w:ascii="Arial" w:hAnsi="Arial" w:cs="Arial"/>
        </w:rPr>
        <w:br w:type="page"/>
      </w:r>
    </w:p>
    <w:p w14:paraId="110218DA" w14:textId="2A291383" w:rsidR="00E756EC" w:rsidRDefault="00E756EC" w:rsidP="00E756EC">
      <w:pPr>
        <w:jc w:val="center"/>
        <w:rPr>
          <w:rFonts w:ascii="Arial" w:hAnsi="Arial" w:cs="Arial"/>
          <w:b/>
          <w:sz w:val="24"/>
          <w:szCs w:val="24"/>
        </w:rPr>
      </w:pPr>
      <w:r w:rsidRPr="00B616C6">
        <w:rPr>
          <w:rFonts w:ascii="Arial" w:hAnsi="Arial" w:cs="Arial"/>
          <w:b/>
          <w:sz w:val="24"/>
          <w:szCs w:val="24"/>
          <w:highlight w:val="yellow"/>
        </w:rPr>
        <w:lastRenderedPageBreak/>
        <w:t>FY</w:t>
      </w:r>
      <w:r w:rsidR="00B616C6" w:rsidRPr="00B616C6">
        <w:rPr>
          <w:rFonts w:ascii="Arial" w:hAnsi="Arial" w:cs="Arial"/>
          <w:b/>
          <w:sz w:val="24"/>
          <w:szCs w:val="24"/>
          <w:highlight w:val="yellow"/>
        </w:rPr>
        <w:t>XX</w:t>
      </w:r>
      <w:r>
        <w:rPr>
          <w:rFonts w:ascii="Arial" w:hAnsi="Arial" w:cs="Arial"/>
          <w:b/>
          <w:sz w:val="24"/>
          <w:szCs w:val="24"/>
        </w:rPr>
        <w:t xml:space="preserve"> SALES COMPENSATION </w:t>
      </w:r>
    </w:p>
    <w:p w14:paraId="18802F1A" w14:textId="77777777" w:rsidR="00E756EC" w:rsidRDefault="00E756EC" w:rsidP="00E756EC">
      <w:pPr>
        <w:jc w:val="center"/>
        <w:rPr>
          <w:rFonts w:ascii="Arial" w:hAnsi="Arial" w:cs="Arial"/>
          <w:b/>
          <w:sz w:val="24"/>
          <w:szCs w:val="24"/>
        </w:rPr>
      </w:pPr>
      <w:r>
        <w:rPr>
          <w:rFonts w:ascii="Arial" w:hAnsi="Arial" w:cs="Arial"/>
          <w:b/>
          <w:sz w:val="24"/>
          <w:szCs w:val="24"/>
        </w:rPr>
        <w:t>PLAN ACKNOWLEDGEMENT FORM</w:t>
      </w:r>
    </w:p>
    <w:p w14:paraId="6E41B96A" w14:textId="77777777" w:rsidR="00B616C6" w:rsidRPr="009628DC" w:rsidRDefault="00B616C6" w:rsidP="00B616C6">
      <w:pPr>
        <w:spacing w:after="240"/>
        <w:jc w:val="center"/>
        <w:rPr>
          <w:rFonts w:ascii="Arial" w:hAnsi="Arial" w:cs="Arial"/>
          <w:sz w:val="16"/>
          <w:szCs w:val="16"/>
        </w:rPr>
      </w:pPr>
      <w:r>
        <w:rPr>
          <w:rFonts w:ascii="Arial" w:hAnsi="Arial" w:cs="Arial"/>
          <w:sz w:val="16"/>
          <w:szCs w:val="16"/>
        </w:rPr>
        <w:t xml:space="preserve">(Effective January 1, </w:t>
      </w:r>
      <w:r w:rsidRPr="009628DC">
        <w:rPr>
          <w:rFonts w:ascii="Arial" w:hAnsi="Arial" w:cs="Arial"/>
          <w:sz w:val="16"/>
          <w:szCs w:val="16"/>
          <w:highlight w:val="yellow"/>
        </w:rPr>
        <w:t>20XX</w:t>
      </w:r>
      <w:r>
        <w:rPr>
          <w:rFonts w:ascii="Arial" w:hAnsi="Arial" w:cs="Arial"/>
          <w:sz w:val="16"/>
          <w:szCs w:val="16"/>
        </w:rPr>
        <w:t xml:space="preserve"> and subject to the </w:t>
      </w:r>
      <w:r w:rsidRPr="009628DC">
        <w:rPr>
          <w:rFonts w:ascii="Arial" w:hAnsi="Arial" w:cs="Arial"/>
          <w:sz w:val="16"/>
          <w:szCs w:val="16"/>
          <w:highlight w:val="yellow"/>
        </w:rPr>
        <w:t>FYXX</w:t>
      </w:r>
      <w:r>
        <w:rPr>
          <w:rFonts w:ascii="Arial" w:hAnsi="Arial" w:cs="Arial"/>
          <w:sz w:val="16"/>
          <w:szCs w:val="16"/>
        </w:rPr>
        <w:t xml:space="preserve"> Sales Compensation Policy)</w:t>
      </w:r>
    </w:p>
    <w:p w14:paraId="2B8824DE" w14:textId="781DC0E5" w:rsidR="00050F54" w:rsidRPr="00324164" w:rsidRDefault="00050F54" w:rsidP="00050F54">
      <w:pPr>
        <w:pStyle w:val="Heading4"/>
        <w:rPr>
          <w:color w:val="235043"/>
        </w:rPr>
      </w:pPr>
      <w:r w:rsidRPr="00324164">
        <w:rPr>
          <w:color w:val="235043"/>
        </w:rPr>
        <w:t xml:space="preserve">Employee </w:t>
      </w:r>
      <w:r w:rsidR="00190857">
        <w:rPr>
          <w:color w:val="235043"/>
        </w:rPr>
        <w:t>i</w:t>
      </w:r>
      <w:r w:rsidRPr="00324164">
        <w:rPr>
          <w:color w:val="235043"/>
        </w:rPr>
        <w:t xml:space="preserve">nformation and </w:t>
      </w:r>
      <w:r w:rsidR="00190857">
        <w:rPr>
          <w:color w:val="235043"/>
        </w:rPr>
        <w:t>t</w:t>
      </w:r>
      <w:r w:rsidRPr="00324164">
        <w:rPr>
          <w:color w:val="235043"/>
        </w:rPr>
        <w:t xml:space="preserve">otal </w:t>
      </w:r>
      <w:r w:rsidR="00190857">
        <w:rPr>
          <w:color w:val="235043"/>
        </w:rPr>
        <w:t>p</w:t>
      </w:r>
      <w:r w:rsidRPr="00324164">
        <w:rPr>
          <w:color w:val="235043"/>
        </w:rPr>
        <w:t xml:space="preserve">ay </w:t>
      </w:r>
      <w:r w:rsidR="00190857">
        <w:rPr>
          <w:color w:val="235043"/>
        </w:rPr>
        <w:t>d</w:t>
      </w:r>
      <w:r w:rsidRPr="00324164">
        <w:rPr>
          <w:color w:val="235043"/>
        </w:rPr>
        <w:t>etails</w:t>
      </w:r>
    </w:p>
    <w:tbl>
      <w:tblPr>
        <w:tblStyle w:val="TableGrid"/>
        <w:tblpPr w:leftFromText="180" w:rightFromText="180" w:vertAnchor="text" w:tblpX="-10" w:tblpY="66"/>
        <w:tblW w:w="995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144" w:type="dxa"/>
          <w:right w:w="144" w:type="dxa"/>
        </w:tblCellMar>
        <w:tblLook w:val="04A0" w:firstRow="1" w:lastRow="0" w:firstColumn="1" w:lastColumn="0" w:noHBand="0" w:noVBand="1"/>
      </w:tblPr>
      <w:tblGrid>
        <w:gridCol w:w="1953"/>
        <w:gridCol w:w="2651"/>
        <w:gridCol w:w="3216"/>
        <w:gridCol w:w="2132"/>
      </w:tblGrid>
      <w:tr w:rsidR="00050F54" w14:paraId="1032955D" w14:textId="77777777" w:rsidTr="00324164">
        <w:trPr>
          <w:trHeight w:val="289"/>
        </w:trPr>
        <w:tc>
          <w:tcPr>
            <w:tcW w:w="1953" w:type="dxa"/>
            <w:shd w:val="clear" w:color="auto" w:fill="235043"/>
            <w:vAlign w:val="center"/>
          </w:tcPr>
          <w:p w14:paraId="63CD00ED" w14:textId="37336BC8" w:rsidR="00050F54" w:rsidRDefault="00050F54" w:rsidP="00324164">
            <w:pPr>
              <w:ind w:left="-109"/>
              <w:rPr>
                <w:rFonts w:ascii="Arial" w:hAnsi="Arial" w:cs="Arial"/>
                <w:b/>
                <w:color w:val="FFFFFF" w:themeColor="background1"/>
                <w:sz w:val="18"/>
                <w:szCs w:val="18"/>
              </w:rPr>
            </w:pPr>
            <w:r>
              <w:rPr>
                <w:rFonts w:ascii="Arial" w:hAnsi="Arial" w:cs="Arial"/>
                <w:b/>
                <w:color w:val="FFFFFF" w:themeColor="background1"/>
                <w:sz w:val="18"/>
                <w:szCs w:val="18"/>
              </w:rPr>
              <w:t xml:space="preserve">Employee </w:t>
            </w:r>
            <w:r w:rsidR="00525CB9">
              <w:rPr>
                <w:rFonts w:ascii="Arial" w:hAnsi="Arial" w:cs="Arial"/>
                <w:b/>
                <w:color w:val="FFFFFF" w:themeColor="background1"/>
                <w:sz w:val="18"/>
                <w:szCs w:val="18"/>
              </w:rPr>
              <w:t>n</w:t>
            </w:r>
            <w:r>
              <w:rPr>
                <w:rFonts w:ascii="Arial" w:hAnsi="Arial" w:cs="Arial"/>
                <w:b/>
                <w:color w:val="FFFFFF" w:themeColor="background1"/>
                <w:sz w:val="18"/>
                <w:szCs w:val="18"/>
              </w:rPr>
              <w:t>ame</w:t>
            </w:r>
          </w:p>
        </w:tc>
        <w:tc>
          <w:tcPr>
            <w:tcW w:w="2651" w:type="dxa"/>
            <w:shd w:val="clear" w:color="auto" w:fill="F2F2F2" w:themeFill="background1" w:themeFillShade="F2"/>
            <w:vAlign w:val="center"/>
          </w:tcPr>
          <w:p w14:paraId="4AA9655B" w14:textId="77777777" w:rsidR="00050F54" w:rsidRDefault="00050F54" w:rsidP="00324164">
            <w:pPr>
              <w:ind w:left="-109"/>
              <w:rPr>
                <w:rFonts w:ascii="Arial" w:hAnsi="Arial" w:cs="Arial"/>
                <w:sz w:val="18"/>
                <w:szCs w:val="18"/>
              </w:rPr>
            </w:pPr>
            <w:r>
              <w:rPr>
                <w:rFonts w:ascii="Arial" w:hAnsi="Arial" w:cs="Arial"/>
                <w:sz w:val="18"/>
                <w:szCs w:val="18"/>
              </w:rPr>
              <w:t>Joe Smith</w:t>
            </w:r>
          </w:p>
        </w:tc>
        <w:tc>
          <w:tcPr>
            <w:tcW w:w="3216" w:type="dxa"/>
            <w:shd w:val="clear" w:color="auto" w:fill="235043"/>
            <w:vAlign w:val="center"/>
          </w:tcPr>
          <w:p w14:paraId="5FA2250E" w14:textId="76A87C17" w:rsidR="00050F54" w:rsidRDefault="00050F54" w:rsidP="00324164">
            <w:pPr>
              <w:ind w:left="-109"/>
              <w:rPr>
                <w:rFonts w:ascii="Arial" w:hAnsi="Arial" w:cs="Arial"/>
                <w:b/>
                <w:color w:val="FFFFFF" w:themeColor="background1"/>
                <w:sz w:val="18"/>
                <w:szCs w:val="18"/>
              </w:rPr>
            </w:pPr>
            <w:r>
              <w:rPr>
                <w:rFonts w:ascii="Arial" w:hAnsi="Arial" w:cs="Arial"/>
                <w:b/>
                <w:color w:val="FFFFFF" w:themeColor="background1"/>
                <w:sz w:val="18"/>
                <w:szCs w:val="18"/>
              </w:rPr>
              <w:t xml:space="preserve">Annual </w:t>
            </w:r>
            <w:r w:rsidR="00525CB9">
              <w:rPr>
                <w:rFonts w:ascii="Arial" w:hAnsi="Arial" w:cs="Arial"/>
                <w:b/>
                <w:color w:val="FFFFFF" w:themeColor="background1"/>
                <w:sz w:val="18"/>
                <w:szCs w:val="18"/>
              </w:rPr>
              <w:t>b</w:t>
            </w:r>
            <w:r>
              <w:rPr>
                <w:rFonts w:ascii="Arial" w:hAnsi="Arial" w:cs="Arial"/>
                <w:b/>
                <w:color w:val="FFFFFF" w:themeColor="background1"/>
                <w:sz w:val="18"/>
                <w:szCs w:val="18"/>
              </w:rPr>
              <w:t xml:space="preserve">ase </w:t>
            </w:r>
            <w:r w:rsidR="00525CB9">
              <w:rPr>
                <w:rFonts w:ascii="Arial" w:hAnsi="Arial" w:cs="Arial"/>
                <w:b/>
                <w:color w:val="FFFFFF" w:themeColor="background1"/>
                <w:sz w:val="18"/>
                <w:szCs w:val="18"/>
              </w:rPr>
              <w:t>s</w:t>
            </w:r>
            <w:r>
              <w:rPr>
                <w:rFonts w:ascii="Arial" w:hAnsi="Arial" w:cs="Arial"/>
                <w:b/>
                <w:color w:val="FFFFFF" w:themeColor="background1"/>
                <w:sz w:val="18"/>
                <w:szCs w:val="18"/>
              </w:rPr>
              <w:t>alary</w:t>
            </w:r>
          </w:p>
        </w:tc>
        <w:tc>
          <w:tcPr>
            <w:tcW w:w="2132" w:type="dxa"/>
            <w:shd w:val="clear" w:color="auto" w:fill="F2F2F2" w:themeFill="background1" w:themeFillShade="F2"/>
            <w:vAlign w:val="center"/>
          </w:tcPr>
          <w:p w14:paraId="6A74717C" w14:textId="77777777" w:rsidR="00050F54" w:rsidRDefault="00050F54" w:rsidP="00324164">
            <w:pPr>
              <w:ind w:left="-109"/>
              <w:rPr>
                <w:rFonts w:ascii="Arial" w:hAnsi="Arial" w:cs="Arial"/>
                <w:sz w:val="18"/>
                <w:szCs w:val="18"/>
              </w:rPr>
            </w:pPr>
            <w:r>
              <w:rPr>
                <w:rFonts w:ascii="Arial" w:hAnsi="Arial" w:cs="Arial"/>
                <w:sz w:val="18"/>
                <w:szCs w:val="18"/>
              </w:rPr>
              <w:t>$100,000</w:t>
            </w:r>
          </w:p>
        </w:tc>
      </w:tr>
      <w:tr w:rsidR="00050F54" w14:paraId="5C74A03C" w14:textId="77777777" w:rsidTr="00324164">
        <w:trPr>
          <w:trHeight w:val="289"/>
        </w:trPr>
        <w:tc>
          <w:tcPr>
            <w:tcW w:w="1953" w:type="dxa"/>
            <w:shd w:val="clear" w:color="auto" w:fill="235043"/>
            <w:vAlign w:val="center"/>
          </w:tcPr>
          <w:p w14:paraId="7F98D92A" w14:textId="77777777" w:rsidR="00050F54" w:rsidRDefault="00050F54" w:rsidP="00324164">
            <w:pPr>
              <w:ind w:left="-109"/>
              <w:rPr>
                <w:rFonts w:ascii="Arial" w:hAnsi="Arial" w:cs="Arial"/>
                <w:b/>
                <w:color w:val="FFFFFF" w:themeColor="background1"/>
                <w:sz w:val="18"/>
                <w:szCs w:val="18"/>
              </w:rPr>
            </w:pPr>
            <w:r>
              <w:rPr>
                <w:rFonts w:ascii="Arial" w:hAnsi="Arial" w:cs="Arial"/>
                <w:b/>
                <w:color w:val="FFFFFF" w:themeColor="background1"/>
                <w:sz w:val="18"/>
                <w:szCs w:val="18"/>
              </w:rPr>
              <w:t>Employee ID</w:t>
            </w:r>
          </w:p>
        </w:tc>
        <w:tc>
          <w:tcPr>
            <w:tcW w:w="2651" w:type="dxa"/>
            <w:shd w:val="clear" w:color="auto" w:fill="F2F2F2" w:themeFill="background1" w:themeFillShade="F2"/>
            <w:vAlign w:val="center"/>
          </w:tcPr>
          <w:p w14:paraId="25D00BEF" w14:textId="77777777" w:rsidR="00050F54" w:rsidRDefault="00050F54" w:rsidP="00324164">
            <w:pPr>
              <w:ind w:left="-109"/>
              <w:rPr>
                <w:rFonts w:ascii="Arial" w:hAnsi="Arial" w:cs="Arial"/>
                <w:sz w:val="18"/>
                <w:szCs w:val="18"/>
              </w:rPr>
            </w:pPr>
            <w:r>
              <w:rPr>
                <w:rFonts w:ascii="Arial" w:hAnsi="Arial" w:cs="Arial"/>
                <w:sz w:val="18"/>
                <w:szCs w:val="18"/>
              </w:rPr>
              <w:t>12345</w:t>
            </w:r>
          </w:p>
        </w:tc>
        <w:tc>
          <w:tcPr>
            <w:tcW w:w="3216" w:type="dxa"/>
            <w:shd w:val="clear" w:color="auto" w:fill="235043"/>
            <w:vAlign w:val="center"/>
          </w:tcPr>
          <w:p w14:paraId="3966840D" w14:textId="25D54E71" w:rsidR="00050F54" w:rsidRDefault="00050F54" w:rsidP="00324164">
            <w:pPr>
              <w:ind w:left="-109"/>
              <w:rPr>
                <w:rFonts w:ascii="Arial" w:hAnsi="Arial" w:cs="Arial"/>
                <w:b/>
                <w:color w:val="FFFFFF" w:themeColor="background1"/>
                <w:sz w:val="18"/>
                <w:szCs w:val="18"/>
              </w:rPr>
            </w:pPr>
            <w:r>
              <w:rPr>
                <w:rFonts w:ascii="Arial" w:hAnsi="Arial" w:cs="Arial"/>
                <w:b/>
                <w:color w:val="FFFFFF" w:themeColor="background1"/>
                <w:sz w:val="18"/>
                <w:szCs w:val="18"/>
              </w:rPr>
              <w:t xml:space="preserve">Annual </w:t>
            </w:r>
            <w:r w:rsidR="00525CB9">
              <w:rPr>
                <w:rFonts w:ascii="Arial" w:hAnsi="Arial" w:cs="Arial"/>
                <w:b/>
                <w:color w:val="FFFFFF" w:themeColor="background1"/>
                <w:sz w:val="18"/>
                <w:szCs w:val="18"/>
              </w:rPr>
              <w:t>t</w:t>
            </w:r>
            <w:r>
              <w:rPr>
                <w:rFonts w:ascii="Arial" w:hAnsi="Arial" w:cs="Arial"/>
                <w:b/>
                <w:color w:val="FFFFFF" w:themeColor="background1"/>
                <w:sz w:val="18"/>
                <w:szCs w:val="18"/>
              </w:rPr>
              <w:t xml:space="preserve">arget </w:t>
            </w:r>
            <w:r w:rsidR="00525CB9">
              <w:rPr>
                <w:rFonts w:ascii="Arial" w:hAnsi="Arial" w:cs="Arial"/>
                <w:b/>
                <w:color w:val="FFFFFF" w:themeColor="background1"/>
                <w:sz w:val="18"/>
                <w:szCs w:val="18"/>
              </w:rPr>
              <w:t>i</w:t>
            </w:r>
            <w:r>
              <w:rPr>
                <w:rFonts w:ascii="Arial" w:hAnsi="Arial" w:cs="Arial"/>
                <w:b/>
                <w:color w:val="FFFFFF" w:themeColor="background1"/>
                <w:sz w:val="18"/>
                <w:szCs w:val="18"/>
              </w:rPr>
              <w:t>ncentive</w:t>
            </w:r>
          </w:p>
        </w:tc>
        <w:tc>
          <w:tcPr>
            <w:tcW w:w="2132" w:type="dxa"/>
            <w:shd w:val="clear" w:color="auto" w:fill="F2F2F2" w:themeFill="background1" w:themeFillShade="F2"/>
            <w:vAlign w:val="center"/>
          </w:tcPr>
          <w:p w14:paraId="2CE4B15A" w14:textId="77777777" w:rsidR="00050F54" w:rsidRPr="00052F42" w:rsidRDefault="00050F54" w:rsidP="00324164">
            <w:pPr>
              <w:ind w:left="-109"/>
              <w:rPr>
                <w:rFonts w:ascii="Arial" w:hAnsi="Arial" w:cs="Arial"/>
                <w:sz w:val="18"/>
                <w:szCs w:val="18"/>
              </w:rPr>
            </w:pPr>
            <w:r w:rsidRPr="00052F42">
              <w:rPr>
                <w:rFonts w:ascii="Arial" w:hAnsi="Arial" w:cs="Arial"/>
                <w:sz w:val="18"/>
                <w:szCs w:val="18"/>
              </w:rPr>
              <w:t>$</w:t>
            </w:r>
            <w:r>
              <w:rPr>
                <w:rFonts w:ascii="Arial" w:hAnsi="Arial" w:cs="Arial"/>
                <w:sz w:val="18"/>
                <w:szCs w:val="18"/>
              </w:rPr>
              <w:t>100,000</w:t>
            </w:r>
          </w:p>
        </w:tc>
      </w:tr>
      <w:tr w:rsidR="00050F54" w14:paraId="1DB2432B" w14:textId="77777777" w:rsidTr="00324164">
        <w:trPr>
          <w:trHeight w:val="289"/>
        </w:trPr>
        <w:tc>
          <w:tcPr>
            <w:tcW w:w="1953" w:type="dxa"/>
            <w:shd w:val="clear" w:color="auto" w:fill="235043"/>
            <w:vAlign w:val="center"/>
          </w:tcPr>
          <w:p w14:paraId="01341623" w14:textId="5479357F" w:rsidR="00050F54" w:rsidRDefault="00050F54" w:rsidP="00324164">
            <w:pPr>
              <w:ind w:left="-109"/>
              <w:rPr>
                <w:rFonts w:ascii="Arial" w:hAnsi="Arial" w:cs="Arial"/>
                <w:b/>
                <w:color w:val="FFFFFF" w:themeColor="background1"/>
                <w:sz w:val="18"/>
                <w:szCs w:val="18"/>
              </w:rPr>
            </w:pPr>
            <w:r>
              <w:rPr>
                <w:rFonts w:ascii="Arial" w:hAnsi="Arial" w:cs="Arial"/>
                <w:b/>
                <w:color w:val="FFFFFF" w:themeColor="background1"/>
                <w:sz w:val="18"/>
                <w:szCs w:val="18"/>
              </w:rPr>
              <w:t xml:space="preserve">Start </w:t>
            </w:r>
            <w:r w:rsidR="00525CB9">
              <w:rPr>
                <w:rFonts w:ascii="Arial" w:hAnsi="Arial" w:cs="Arial"/>
                <w:b/>
                <w:color w:val="FFFFFF" w:themeColor="background1"/>
                <w:sz w:val="18"/>
                <w:szCs w:val="18"/>
              </w:rPr>
              <w:t>d</w:t>
            </w:r>
            <w:r>
              <w:rPr>
                <w:rFonts w:ascii="Arial" w:hAnsi="Arial" w:cs="Arial"/>
                <w:b/>
                <w:color w:val="FFFFFF" w:themeColor="background1"/>
                <w:sz w:val="18"/>
                <w:szCs w:val="18"/>
              </w:rPr>
              <w:t>ate</w:t>
            </w:r>
          </w:p>
        </w:tc>
        <w:tc>
          <w:tcPr>
            <w:tcW w:w="2651" w:type="dxa"/>
            <w:shd w:val="clear" w:color="auto" w:fill="F2F2F2" w:themeFill="background1" w:themeFillShade="F2"/>
            <w:vAlign w:val="center"/>
          </w:tcPr>
          <w:p w14:paraId="4641E540" w14:textId="4C5E114D" w:rsidR="00050F54" w:rsidRDefault="00050F54" w:rsidP="00324164">
            <w:pPr>
              <w:ind w:left="-109"/>
              <w:rPr>
                <w:rFonts w:ascii="Arial" w:hAnsi="Arial" w:cs="Arial"/>
                <w:sz w:val="18"/>
                <w:szCs w:val="18"/>
              </w:rPr>
            </w:pPr>
            <w:r>
              <w:rPr>
                <w:rFonts w:ascii="Arial" w:hAnsi="Arial" w:cs="Arial"/>
                <w:sz w:val="18"/>
                <w:szCs w:val="18"/>
              </w:rPr>
              <w:t>January 1, 20</w:t>
            </w:r>
            <w:r w:rsidR="003062AF">
              <w:rPr>
                <w:rFonts w:ascii="Arial" w:hAnsi="Arial" w:cs="Arial"/>
                <w:sz w:val="18"/>
                <w:szCs w:val="18"/>
              </w:rPr>
              <w:t>XX</w:t>
            </w:r>
          </w:p>
        </w:tc>
        <w:tc>
          <w:tcPr>
            <w:tcW w:w="3216" w:type="dxa"/>
            <w:shd w:val="clear" w:color="auto" w:fill="235043"/>
            <w:vAlign w:val="center"/>
          </w:tcPr>
          <w:p w14:paraId="6904AC5A" w14:textId="77777777" w:rsidR="00050F54" w:rsidRDefault="00050F54" w:rsidP="00324164">
            <w:pPr>
              <w:ind w:left="-109"/>
              <w:rPr>
                <w:rFonts w:ascii="Arial" w:hAnsi="Arial" w:cs="Arial"/>
                <w:b/>
                <w:color w:val="FFFFFF" w:themeColor="background1"/>
                <w:sz w:val="18"/>
                <w:szCs w:val="18"/>
              </w:rPr>
            </w:pPr>
            <w:r>
              <w:rPr>
                <w:rFonts w:ascii="Arial" w:hAnsi="Arial" w:cs="Arial"/>
                <w:b/>
                <w:color w:val="FFFFFF" w:themeColor="background1"/>
                <w:sz w:val="18"/>
                <w:szCs w:val="18"/>
              </w:rPr>
              <w:t>Target Total Compensation (TTC)</w:t>
            </w:r>
          </w:p>
        </w:tc>
        <w:tc>
          <w:tcPr>
            <w:tcW w:w="2132" w:type="dxa"/>
            <w:shd w:val="clear" w:color="auto" w:fill="F2F2F2" w:themeFill="background1" w:themeFillShade="F2"/>
            <w:vAlign w:val="center"/>
          </w:tcPr>
          <w:p w14:paraId="7354F7C5" w14:textId="77777777" w:rsidR="00050F54" w:rsidRDefault="00050F54" w:rsidP="00324164">
            <w:pPr>
              <w:ind w:left="-109"/>
              <w:rPr>
                <w:rFonts w:ascii="Arial" w:hAnsi="Arial" w:cs="Arial"/>
                <w:sz w:val="18"/>
                <w:szCs w:val="18"/>
              </w:rPr>
            </w:pPr>
            <w:r>
              <w:rPr>
                <w:rFonts w:ascii="Arial" w:hAnsi="Arial" w:cs="Arial"/>
                <w:sz w:val="18"/>
                <w:szCs w:val="18"/>
              </w:rPr>
              <w:t>$200,000</w:t>
            </w:r>
          </w:p>
        </w:tc>
      </w:tr>
      <w:tr w:rsidR="00050F54" w14:paraId="6141CBC2" w14:textId="77777777" w:rsidTr="00324164">
        <w:trPr>
          <w:trHeight w:val="289"/>
        </w:trPr>
        <w:tc>
          <w:tcPr>
            <w:tcW w:w="1953" w:type="dxa"/>
            <w:shd w:val="clear" w:color="auto" w:fill="235043"/>
            <w:vAlign w:val="center"/>
          </w:tcPr>
          <w:p w14:paraId="5AC7932C" w14:textId="77777777" w:rsidR="00050F54" w:rsidRDefault="00050F54" w:rsidP="00324164">
            <w:pPr>
              <w:ind w:left="-109"/>
              <w:rPr>
                <w:rFonts w:ascii="Arial" w:hAnsi="Arial" w:cs="Arial"/>
                <w:b/>
                <w:color w:val="FFFFFF" w:themeColor="background1"/>
                <w:sz w:val="18"/>
                <w:szCs w:val="18"/>
              </w:rPr>
            </w:pPr>
            <w:r>
              <w:rPr>
                <w:rFonts w:ascii="Arial" w:hAnsi="Arial" w:cs="Arial"/>
                <w:b/>
                <w:color w:val="FFFFFF" w:themeColor="background1"/>
                <w:sz w:val="18"/>
                <w:szCs w:val="18"/>
              </w:rPr>
              <w:t>Territory</w:t>
            </w:r>
          </w:p>
        </w:tc>
        <w:tc>
          <w:tcPr>
            <w:tcW w:w="2651" w:type="dxa"/>
            <w:shd w:val="clear" w:color="auto" w:fill="F2F2F2" w:themeFill="background1" w:themeFillShade="F2"/>
            <w:vAlign w:val="center"/>
          </w:tcPr>
          <w:p w14:paraId="3565F4EC" w14:textId="77777777" w:rsidR="00050F54" w:rsidRDefault="00050F54" w:rsidP="00324164">
            <w:pPr>
              <w:ind w:left="-109"/>
              <w:rPr>
                <w:rFonts w:ascii="Arial" w:hAnsi="Arial" w:cs="Arial"/>
                <w:sz w:val="18"/>
                <w:szCs w:val="18"/>
              </w:rPr>
            </w:pPr>
            <w:r>
              <w:rPr>
                <w:rFonts w:ascii="Arial" w:hAnsi="Arial" w:cs="Arial"/>
                <w:sz w:val="18"/>
                <w:szCs w:val="18"/>
              </w:rPr>
              <w:t>West</w:t>
            </w:r>
          </w:p>
        </w:tc>
        <w:tc>
          <w:tcPr>
            <w:tcW w:w="3216" w:type="dxa"/>
            <w:shd w:val="clear" w:color="auto" w:fill="235043"/>
            <w:vAlign w:val="center"/>
          </w:tcPr>
          <w:p w14:paraId="2371D7D4" w14:textId="3EAD45F0" w:rsidR="00050F54" w:rsidRDefault="00050F54" w:rsidP="00324164">
            <w:pPr>
              <w:ind w:left="-109"/>
              <w:rPr>
                <w:rFonts w:ascii="Arial" w:hAnsi="Arial" w:cs="Arial"/>
                <w:b/>
                <w:color w:val="FFFFFF" w:themeColor="background1"/>
                <w:sz w:val="18"/>
                <w:szCs w:val="18"/>
              </w:rPr>
            </w:pPr>
            <w:r>
              <w:rPr>
                <w:rFonts w:ascii="Arial" w:hAnsi="Arial" w:cs="Arial"/>
                <w:b/>
                <w:color w:val="FFFFFF" w:themeColor="background1"/>
                <w:sz w:val="18"/>
                <w:szCs w:val="18"/>
              </w:rPr>
              <w:t xml:space="preserve">Pay </w:t>
            </w:r>
            <w:r w:rsidR="00525CB9">
              <w:rPr>
                <w:rFonts w:ascii="Arial" w:hAnsi="Arial" w:cs="Arial"/>
                <w:b/>
                <w:color w:val="FFFFFF" w:themeColor="background1"/>
                <w:sz w:val="18"/>
                <w:szCs w:val="18"/>
              </w:rPr>
              <w:t>m</w:t>
            </w:r>
            <w:r>
              <w:rPr>
                <w:rFonts w:ascii="Arial" w:hAnsi="Arial" w:cs="Arial"/>
                <w:b/>
                <w:color w:val="FFFFFF" w:themeColor="background1"/>
                <w:sz w:val="18"/>
                <w:szCs w:val="18"/>
              </w:rPr>
              <w:t>ix</w:t>
            </w:r>
          </w:p>
        </w:tc>
        <w:tc>
          <w:tcPr>
            <w:tcW w:w="2132" w:type="dxa"/>
            <w:shd w:val="clear" w:color="auto" w:fill="F2F2F2" w:themeFill="background1" w:themeFillShade="F2"/>
            <w:vAlign w:val="center"/>
          </w:tcPr>
          <w:p w14:paraId="6171AE8A" w14:textId="77777777" w:rsidR="00050F54" w:rsidRDefault="00050F54" w:rsidP="00324164">
            <w:pPr>
              <w:ind w:left="-109"/>
              <w:rPr>
                <w:rFonts w:ascii="Arial" w:hAnsi="Arial" w:cs="Arial"/>
                <w:sz w:val="18"/>
                <w:szCs w:val="18"/>
              </w:rPr>
            </w:pPr>
            <w:r>
              <w:rPr>
                <w:rFonts w:ascii="Arial" w:hAnsi="Arial" w:cs="Arial"/>
                <w:sz w:val="18"/>
                <w:szCs w:val="18"/>
              </w:rPr>
              <w:t>50/50</w:t>
            </w:r>
          </w:p>
        </w:tc>
      </w:tr>
    </w:tbl>
    <w:p w14:paraId="0C01E57A" w14:textId="77777777" w:rsidR="00050F54" w:rsidRDefault="00050F54" w:rsidP="00050F54"/>
    <w:p w14:paraId="3CFD22A0" w14:textId="52FA8202" w:rsidR="00050F54" w:rsidRPr="00324164" w:rsidRDefault="00050F54" w:rsidP="00050F54">
      <w:pPr>
        <w:pStyle w:val="Heading4"/>
        <w:rPr>
          <w:color w:val="235043"/>
        </w:rPr>
      </w:pPr>
      <w:r w:rsidRPr="00324164">
        <w:rPr>
          <w:color w:val="235043"/>
        </w:rPr>
        <w:t xml:space="preserve">Target </w:t>
      </w:r>
      <w:r w:rsidR="00190857">
        <w:rPr>
          <w:color w:val="235043"/>
        </w:rPr>
        <w:t>i</w:t>
      </w:r>
      <w:r w:rsidRPr="00324164">
        <w:rPr>
          <w:color w:val="235043"/>
        </w:rPr>
        <w:t xml:space="preserve">ncentive and </w:t>
      </w:r>
      <w:r w:rsidR="00190857">
        <w:rPr>
          <w:color w:val="235043"/>
        </w:rPr>
        <w:t>c</w:t>
      </w:r>
      <w:r w:rsidRPr="00324164">
        <w:rPr>
          <w:color w:val="235043"/>
        </w:rPr>
        <w:t xml:space="preserve">ommission </w:t>
      </w:r>
      <w:r w:rsidR="00190857">
        <w:rPr>
          <w:color w:val="235043"/>
        </w:rPr>
        <w:t>d</w:t>
      </w:r>
      <w:r w:rsidRPr="00324164">
        <w:rPr>
          <w:color w:val="235043"/>
        </w:rPr>
        <w:t>etails</w:t>
      </w:r>
    </w:p>
    <w:tbl>
      <w:tblPr>
        <w:tblStyle w:val="TableGrid"/>
        <w:tblW w:w="9928"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144" w:type="dxa"/>
          <w:right w:w="144" w:type="dxa"/>
        </w:tblCellMar>
        <w:tblLook w:val="04A0" w:firstRow="1" w:lastRow="0" w:firstColumn="1" w:lastColumn="0" w:noHBand="0" w:noVBand="1"/>
      </w:tblPr>
      <w:tblGrid>
        <w:gridCol w:w="2514"/>
        <w:gridCol w:w="1254"/>
        <w:gridCol w:w="1724"/>
        <w:gridCol w:w="1501"/>
        <w:gridCol w:w="2935"/>
      </w:tblGrid>
      <w:tr w:rsidR="00E756EC" w14:paraId="5581FCD6" w14:textId="77777777" w:rsidTr="00324164">
        <w:trPr>
          <w:trHeight w:val="285"/>
          <w:jc w:val="center"/>
        </w:trPr>
        <w:tc>
          <w:tcPr>
            <w:tcW w:w="2514" w:type="dxa"/>
            <w:shd w:val="clear" w:color="auto" w:fill="235043"/>
            <w:vAlign w:val="center"/>
          </w:tcPr>
          <w:p w14:paraId="067FA1B3" w14:textId="0EA05E28" w:rsidR="00E756EC" w:rsidRDefault="00E756EC" w:rsidP="00050F54">
            <w:pPr>
              <w:rPr>
                <w:rFonts w:ascii="Arial" w:hAnsi="Arial" w:cs="Arial"/>
                <w:b/>
                <w:color w:val="FFFFFF" w:themeColor="background1"/>
                <w:sz w:val="18"/>
                <w:szCs w:val="18"/>
              </w:rPr>
            </w:pPr>
            <w:r>
              <w:rPr>
                <w:rFonts w:ascii="Arial" w:hAnsi="Arial" w:cs="Arial"/>
                <w:b/>
                <w:color w:val="FFFFFF" w:themeColor="background1"/>
                <w:sz w:val="18"/>
                <w:szCs w:val="18"/>
              </w:rPr>
              <w:t xml:space="preserve">Performance </w:t>
            </w:r>
            <w:r w:rsidR="00525CB9">
              <w:rPr>
                <w:rFonts w:ascii="Arial" w:hAnsi="Arial" w:cs="Arial"/>
                <w:b/>
                <w:color w:val="FFFFFF" w:themeColor="background1"/>
                <w:sz w:val="18"/>
                <w:szCs w:val="18"/>
              </w:rPr>
              <w:t>m</w:t>
            </w:r>
            <w:r>
              <w:rPr>
                <w:rFonts w:ascii="Arial" w:hAnsi="Arial" w:cs="Arial"/>
                <w:b/>
                <w:color w:val="FFFFFF" w:themeColor="background1"/>
                <w:sz w:val="18"/>
                <w:szCs w:val="18"/>
              </w:rPr>
              <w:t>easure</w:t>
            </w:r>
          </w:p>
        </w:tc>
        <w:tc>
          <w:tcPr>
            <w:tcW w:w="1254" w:type="dxa"/>
            <w:shd w:val="clear" w:color="auto" w:fill="235043"/>
            <w:vAlign w:val="center"/>
          </w:tcPr>
          <w:p w14:paraId="696AF304" w14:textId="77777777" w:rsidR="00E756EC" w:rsidRDefault="00E756EC" w:rsidP="00050F54">
            <w:pPr>
              <w:jc w:val="center"/>
              <w:rPr>
                <w:rFonts w:ascii="Arial" w:hAnsi="Arial" w:cs="Arial"/>
                <w:b/>
                <w:color w:val="FFFFFF" w:themeColor="background1"/>
                <w:sz w:val="18"/>
                <w:szCs w:val="18"/>
              </w:rPr>
            </w:pPr>
            <w:r>
              <w:rPr>
                <w:rFonts w:ascii="Arial" w:hAnsi="Arial" w:cs="Arial"/>
                <w:b/>
                <w:color w:val="FFFFFF" w:themeColor="background1"/>
                <w:sz w:val="18"/>
                <w:szCs w:val="18"/>
              </w:rPr>
              <w:t>Weight</w:t>
            </w:r>
          </w:p>
        </w:tc>
        <w:tc>
          <w:tcPr>
            <w:tcW w:w="1724" w:type="dxa"/>
            <w:shd w:val="clear" w:color="auto" w:fill="235043"/>
            <w:vAlign w:val="center"/>
          </w:tcPr>
          <w:p w14:paraId="46F9D9FD" w14:textId="39714376" w:rsidR="00E756EC" w:rsidRDefault="00E756EC" w:rsidP="00050F54">
            <w:pPr>
              <w:jc w:val="center"/>
              <w:rPr>
                <w:rFonts w:ascii="Arial" w:hAnsi="Arial" w:cs="Arial"/>
                <w:b/>
                <w:sz w:val="18"/>
                <w:szCs w:val="18"/>
              </w:rPr>
            </w:pPr>
            <w:r>
              <w:rPr>
                <w:rFonts w:ascii="Arial" w:hAnsi="Arial" w:cs="Arial"/>
                <w:b/>
                <w:color w:val="FFFFFF" w:themeColor="background1"/>
                <w:sz w:val="18"/>
                <w:szCs w:val="18"/>
              </w:rPr>
              <w:t xml:space="preserve">Target </w:t>
            </w:r>
            <w:r w:rsidR="00525CB9">
              <w:rPr>
                <w:rFonts w:ascii="Arial" w:hAnsi="Arial" w:cs="Arial"/>
                <w:b/>
                <w:color w:val="FFFFFF" w:themeColor="background1"/>
                <w:sz w:val="18"/>
                <w:szCs w:val="18"/>
              </w:rPr>
              <w:t>i</w:t>
            </w:r>
            <w:r>
              <w:rPr>
                <w:rFonts w:ascii="Arial" w:hAnsi="Arial" w:cs="Arial"/>
                <w:b/>
                <w:color w:val="FFFFFF" w:themeColor="background1"/>
                <w:sz w:val="18"/>
                <w:szCs w:val="18"/>
              </w:rPr>
              <w:t>ncentive</w:t>
            </w:r>
          </w:p>
        </w:tc>
        <w:tc>
          <w:tcPr>
            <w:tcW w:w="1501" w:type="dxa"/>
            <w:shd w:val="clear" w:color="auto" w:fill="235043"/>
            <w:vAlign w:val="center"/>
          </w:tcPr>
          <w:p w14:paraId="7A2C8A36" w14:textId="77777777" w:rsidR="00E756EC" w:rsidRDefault="00E756EC" w:rsidP="00050F54">
            <w:pPr>
              <w:jc w:val="center"/>
              <w:rPr>
                <w:rFonts w:ascii="Arial" w:hAnsi="Arial" w:cs="Arial"/>
                <w:b/>
                <w:color w:val="FFFFFF" w:themeColor="background1"/>
                <w:sz w:val="18"/>
                <w:szCs w:val="18"/>
              </w:rPr>
            </w:pPr>
            <w:r>
              <w:rPr>
                <w:rFonts w:ascii="Arial" w:hAnsi="Arial" w:cs="Arial"/>
                <w:b/>
                <w:color w:val="FFFFFF" w:themeColor="background1"/>
                <w:sz w:val="18"/>
                <w:szCs w:val="18"/>
              </w:rPr>
              <w:t>Quota</w:t>
            </w:r>
          </w:p>
        </w:tc>
        <w:tc>
          <w:tcPr>
            <w:tcW w:w="2935" w:type="dxa"/>
            <w:shd w:val="clear" w:color="auto" w:fill="235043"/>
            <w:vAlign w:val="center"/>
          </w:tcPr>
          <w:p w14:paraId="19BF2884" w14:textId="77777777" w:rsidR="00E756EC" w:rsidRDefault="00E756EC" w:rsidP="00050F54">
            <w:pPr>
              <w:jc w:val="center"/>
              <w:rPr>
                <w:rFonts w:ascii="Arial" w:hAnsi="Arial" w:cs="Arial"/>
                <w:b/>
                <w:color w:val="FFFFFF" w:themeColor="background1"/>
                <w:sz w:val="18"/>
                <w:szCs w:val="18"/>
              </w:rPr>
            </w:pPr>
            <w:r>
              <w:rPr>
                <w:rFonts w:ascii="Arial" w:hAnsi="Arial" w:cs="Arial"/>
                <w:b/>
                <w:color w:val="FFFFFF" w:themeColor="background1"/>
                <w:sz w:val="18"/>
                <w:szCs w:val="18"/>
              </w:rPr>
              <w:t>Individual Commission Rate</w:t>
            </w:r>
          </w:p>
        </w:tc>
      </w:tr>
      <w:tr w:rsidR="00E756EC" w14:paraId="4C9F00AC" w14:textId="77777777" w:rsidTr="00324164">
        <w:trPr>
          <w:trHeight w:val="285"/>
          <w:jc w:val="center"/>
        </w:trPr>
        <w:tc>
          <w:tcPr>
            <w:tcW w:w="2514" w:type="dxa"/>
            <w:shd w:val="clear" w:color="auto" w:fill="F2F2F2" w:themeFill="background1" w:themeFillShade="F2"/>
            <w:vAlign w:val="center"/>
          </w:tcPr>
          <w:p w14:paraId="76CD7003" w14:textId="77777777" w:rsidR="00E756EC" w:rsidRDefault="00E756EC" w:rsidP="00050F54">
            <w:pPr>
              <w:rPr>
                <w:rFonts w:ascii="Arial" w:hAnsi="Arial" w:cs="Arial"/>
                <w:sz w:val="18"/>
                <w:szCs w:val="18"/>
              </w:rPr>
            </w:pPr>
            <w:r>
              <w:rPr>
                <w:rFonts w:ascii="Arial" w:hAnsi="Arial" w:cs="Arial"/>
                <w:sz w:val="18"/>
                <w:szCs w:val="18"/>
              </w:rPr>
              <w:t>New Bookings</w:t>
            </w:r>
          </w:p>
        </w:tc>
        <w:tc>
          <w:tcPr>
            <w:tcW w:w="1254" w:type="dxa"/>
            <w:shd w:val="clear" w:color="auto" w:fill="F2F2F2" w:themeFill="background1" w:themeFillShade="F2"/>
            <w:vAlign w:val="center"/>
          </w:tcPr>
          <w:p w14:paraId="424F0DDD" w14:textId="77777777" w:rsidR="00E756EC" w:rsidRDefault="00E756EC" w:rsidP="00050F54">
            <w:pPr>
              <w:jc w:val="center"/>
              <w:rPr>
                <w:rFonts w:ascii="Arial" w:hAnsi="Arial" w:cs="Arial"/>
                <w:sz w:val="18"/>
                <w:szCs w:val="18"/>
              </w:rPr>
            </w:pPr>
            <w:r>
              <w:rPr>
                <w:rFonts w:ascii="Arial" w:hAnsi="Arial" w:cs="Arial"/>
                <w:sz w:val="18"/>
                <w:szCs w:val="18"/>
              </w:rPr>
              <w:t>100%</w:t>
            </w:r>
          </w:p>
        </w:tc>
        <w:tc>
          <w:tcPr>
            <w:tcW w:w="1724" w:type="dxa"/>
            <w:shd w:val="clear" w:color="auto" w:fill="F2F2F2" w:themeFill="background1" w:themeFillShade="F2"/>
            <w:vAlign w:val="center"/>
          </w:tcPr>
          <w:p w14:paraId="6DD3AAFA" w14:textId="77777777" w:rsidR="00E756EC" w:rsidRPr="00052F42" w:rsidRDefault="00E756EC" w:rsidP="00050F54">
            <w:pPr>
              <w:jc w:val="center"/>
              <w:rPr>
                <w:rFonts w:ascii="Arial" w:hAnsi="Arial" w:cs="Arial"/>
                <w:sz w:val="18"/>
              </w:rPr>
            </w:pPr>
            <w:r w:rsidRPr="00052F42">
              <w:rPr>
                <w:rFonts w:ascii="Arial" w:hAnsi="Arial" w:cs="Arial"/>
                <w:sz w:val="18"/>
              </w:rPr>
              <w:t>$</w:t>
            </w:r>
            <w:r>
              <w:rPr>
                <w:rFonts w:ascii="Arial" w:hAnsi="Arial" w:cs="Arial"/>
                <w:sz w:val="18"/>
              </w:rPr>
              <w:t>100,000</w:t>
            </w:r>
          </w:p>
        </w:tc>
        <w:tc>
          <w:tcPr>
            <w:tcW w:w="1501" w:type="dxa"/>
            <w:shd w:val="clear" w:color="auto" w:fill="F2F2F2" w:themeFill="background1" w:themeFillShade="F2"/>
            <w:vAlign w:val="center"/>
          </w:tcPr>
          <w:p w14:paraId="6C5334E6" w14:textId="77777777" w:rsidR="00E756EC" w:rsidRPr="002D143E" w:rsidRDefault="00E756EC" w:rsidP="00050F54">
            <w:pPr>
              <w:jc w:val="center"/>
              <w:rPr>
                <w:rFonts w:ascii="Arial" w:hAnsi="Arial" w:cs="Arial"/>
                <w:sz w:val="18"/>
                <w:szCs w:val="18"/>
              </w:rPr>
            </w:pPr>
            <w:r>
              <w:rPr>
                <w:rFonts w:ascii="Arial" w:hAnsi="Arial" w:cs="Arial"/>
                <w:sz w:val="18"/>
                <w:szCs w:val="18"/>
              </w:rPr>
              <w:t>$1,650,000</w:t>
            </w:r>
          </w:p>
        </w:tc>
        <w:tc>
          <w:tcPr>
            <w:tcW w:w="2935" w:type="dxa"/>
            <w:shd w:val="clear" w:color="auto" w:fill="F2F2F2" w:themeFill="background1" w:themeFillShade="F2"/>
            <w:vAlign w:val="center"/>
          </w:tcPr>
          <w:p w14:paraId="4F2153F7" w14:textId="77777777" w:rsidR="00E756EC" w:rsidRPr="002D143E" w:rsidRDefault="00E756EC" w:rsidP="00050F54">
            <w:pPr>
              <w:jc w:val="center"/>
              <w:rPr>
                <w:rFonts w:ascii="Arial" w:hAnsi="Arial" w:cs="Arial"/>
                <w:sz w:val="18"/>
                <w:szCs w:val="18"/>
              </w:rPr>
            </w:pPr>
            <w:r>
              <w:rPr>
                <w:rFonts w:ascii="Arial" w:hAnsi="Arial" w:cs="Arial"/>
                <w:sz w:val="18"/>
                <w:szCs w:val="18"/>
              </w:rPr>
              <w:t>6.06%</w:t>
            </w:r>
          </w:p>
        </w:tc>
      </w:tr>
      <w:tr w:rsidR="00E756EC" w14:paraId="12B4297A" w14:textId="77777777" w:rsidTr="00324164">
        <w:trPr>
          <w:trHeight w:val="285"/>
          <w:jc w:val="center"/>
        </w:trPr>
        <w:tc>
          <w:tcPr>
            <w:tcW w:w="2514" w:type="dxa"/>
            <w:shd w:val="clear" w:color="auto" w:fill="F2F2F2" w:themeFill="background1" w:themeFillShade="F2"/>
            <w:vAlign w:val="center"/>
          </w:tcPr>
          <w:p w14:paraId="0AE9AD70" w14:textId="77777777" w:rsidR="00E756EC" w:rsidRDefault="00E756EC" w:rsidP="00050F54">
            <w:pPr>
              <w:rPr>
                <w:rFonts w:ascii="Arial" w:hAnsi="Arial" w:cs="Arial"/>
                <w:sz w:val="18"/>
                <w:szCs w:val="18"/>
              </w:rPr>
            </w:pPr>
            <w:r>
              <w:rPr>
                <w:rFonts w:ascii="Arial" w:hAnsi="Arial" w:cs="Arial"/>
                <w:sz w:val="18"/>
                <w:szCs w:val="18"/>
              </w:rPr>
              <w:t>Multiyear Kicker</w:t>
            </w:r>
          </w:p>
        </w:tc>
        <w:tc>
          <w:tcPr>
            <w:tcW w:w="1254" w:type="dxa"/>
            <w:shd w:val="clear" w:color="auto" w:fill="F2F2F2" w:themeFill="background1" w:themeFillShade="F2"/>
            <w:vAlign w:val="center"/>
          </w:tcPr>
          <w:p w14:paraId="41AF6B31" w14:textId="77777777" w:rsidR="00E756EC" w:rsidRDefault="00E756EC" w:rsidP="00050F54">
            <w:pPr>
              <w:jc w:val="center"/>
              <w:rPr>
                <w:rFonts w:ascii="Arial" w:hAnsi="Arial" w:cs="Arial"/>
                <w:sz w:val="18"/>
                <w:szCs w:val="18"/>
              </w:rPr>
            </w:pPr>
            <w:r>
              <w:rPr>
                <w:rFonts w:ascii="Arial" w:hAnsi="Arial" w:cs="Arial"/>
                <w:sz w:val="18"/>
                <w:szCs w:val="18"/>
              </w:rPr>
              <w:t>0%</w:t>
            </w:r>
          </w:p>
        </w:tc>
        <w:tc>
          <w:tcPr>
            <w:tcW w:w="1724" w:type="dxa"/>
            <w:shd w:val="clear" w:color="auto" w:fill="F2F2F2" w:themeFill="background1" w:themeFillShade="F2"/>
            <w:vAlign w:val="center"/>
          </w:tcPr>
          <w:p w14:paraId="01B017E9" w14:textId="77777777" w:rsidR="00E756EC" w:rsidRPr="00052F42" w:rsidRDefault="00E756EC" w:rsidP="00050F54">
            <w:pPr>
              <w:jc w:val="center"/>
              <w:rPr>
                <w:rFonts w:ascii="Arial" w:hAnsi="Arial" w:cs="Arial"/>
                <w:sz w:val="18"/>
              </w:rPr>
            </w:pPr>
            <w:r>
              <w:rPr>
                <w:rFonts w:ascii="Arial" w:hAnsi="Arial" w:cs="Arial"/>
                <w:sz w:val="18"/>
              </w:rPr>
              <w:t>n/a</w:t>
            </w:r>
          </w:p>
        </w:tc>
        <w:tc>
          <w:tcPr>
            <w:tcW w:w="1501" w:type="dxa"/>
            <w:shd w:val="clear" w:color="auto" w:fill="F2F2F2" w:themeFill="background1" w:themeFillShade="F2"/>
            <w:vAlign w:val="center"/>
          </w:tcPr>
          <w:p w14:paraId="5B9208B4" w14:textId="77777777" w:rsidR="00E756EC" w:rsidRDefault="00E756EC" w:rsidP="00050F54">
            <w:pPr>
              <w:jc w:val="center"/>
              <w:rPr>
                <w:rFonts w:ascii="Arial" w:hAnsi="Arial" w:cs="Arial"/>
                <w:sz w:val="18"/>
                <w:szCs w:val="18"/>
              </w:rPr>
            </w:pPr>
            <w:r>
              <w:rPr>
                <w:rFonts w:ascii="Arial" w:hAnsi="Arial" w:cs="Arial"/>
                <w:sz w:val="18"/>
                <w:szCs w:val="18"/>
              </w:rPr>
              <w:t>n/a</w:t>
            </w:r>
          </w:p>
        </w:tc>
        <w:tc>
          <w:tcPr>
            <w:tcW w:w="2935" w:type="dxa"/>
            <w:shd w:val="clear" w:color="auto" w:fill="F2F2F2" w:themeFill="background1" w:themeFillShade="F2"/>
            <w:vAlign w:val="center"/>
          </w:tcPr>
          <w:p w14:paraId="0C64D10A" w14:textId="3785E564" w:rsidR="00E756EC" w:rsidRDefault="00494724" w:rsidP="00050F54">
            <w:pPr>
              <w:jc w:val="center"/>
              <w:rPr>
                <w:rFonts w:ascii="Arial" w:hAnsi="Arial" w:cs="Arial"/>
                <w:sz w:val="18"/>
                <w:szCs w:val="18"/>
              </w:rPr>
            </w:pPr>
            <w:r>
              <w:rPr>
                <w:rFonts w:ascii="Arial" w:hAnsi="Arial" w:cs="Arial"/>
                <w:sz w:val="18"/>
                <w:szCs w:val="18"/>
              </w:rPr>
              <w:t>n/a</w:t>
            </w:r>
          </w:p>
        </w:tc>
      </w:tr>
      <w:tr w:rsidR="00E756EC" w14:paraId="712EBE49" w14:textId="77777777" w:rsidTr="00324164">
        <w:trPr>
          <w:trHeight w:val="285"/>
          <w:jc w:val="center"/>
        </w:trPr>
        <w:tc>
          <w:tcPr>
            <w:tcW w:w="2514" w:type="dxa"/>
            <w:shd w:val="clear" w:color="auto" w:fill="F2F2F2" w:themeFill="background1" w:themeFillShade="F2"/>
            <w:vAlign w:val="center"/>
          </w:tcPr>
          <w:p w14:paraId="24A7F3AE" w14:textId="77777777" w:rsidR="00E756EC" w:rsidRDefault="00E756EC" w:rsidP="00050F54">
            <w:pPr>
              <w:rPr>
                <w:rFonts w:ascii="Arial" w:hAnsi="Arial" w:cs="Arial"/>
                <w:sz w:val="18"/>
                <w:szCs w:val="18"/>
              </w:rPr>
            </w:pPr>
            <w:r>
              <w:rPr>
                <w:rFonts w:ascii="Arial" w:hAnsi="Arial" w:cs="Arial"/>
                <w:sz w:val="18"/>
                <w:szCs w:val="18"/>
              </w:rPr>
              <w:t>Quarterly Kicker</w:t>
            </w:r>
          </w:p>
        </w:tc>
        <w:tc>
          <w:tcPr>
            <w:tcW w:w="1254" w:type="dxa"/>
            <w:shd w:val="clear" w:color="auto" w:fill="F2F2F2" w:themeFill="background1" w:themeFillShade="F2"/>
            <w:vAlign w:val="center"/>
          </w:tcPr>
          <w:p w14:paraId="5A3C2331" w14:textId="77777777" w:rsidR="00E756EC" w:rsidRDefault="00E756EC" w:rsidP="00050F54">
            <w:pPr>
              <w:jc w:val="center"/>
              <w:rPr>
                <w:rFonts w:ascii="Arial" w:hAnsi="Arial" w:cs="Arial"/>
                <w:sz w:val="18"/>
                <w:szCs w:val="18"/>
              </w:rPr>
            </w:pPr>
            <w:r>
              <w:rPr>
                <w:rFonts w:ascii="Arial" w:hAnsi="Arial" w:cs="Arial"/>
                <w:sz w:val="18"/>
                <w:szCs w:val="18"/>
              </w:rPr>
              <w:t>0%</w:t>
            </w:r>
          </w:p>
        </w:tc>
        <w:tc>
          <w:tcPr>
            <w:tcW w:w="1724" w:type="dxa"/>
            <w:shd w:val="clear" w:color="auto" w:fill="F2F2F2" w:themeFill="background1" w:themeFillShade="F2"/>
            <w:vAlign w:val="center"/>
          </w:tcPr>
          <w:p w14:paraId="501EE57E" w14:textId="77777777" w:rsidR="00E756EC" w:rsidRPr="00052F42" w:rsidRDefault="00E756EC" w:rsidP="00050F54">
            <w:pPr>
              <w:jc w:val="center"/>
              <w:rPr>
                <w:rFonts w:ascii="Arial" w:hAnsi="Arial" w:cs="Arial"/>
                <w:sz w:val="18"/>
              </w:rPr>
            </w:pPr>
            <w:r>
              <w:rPr>
                <w:rFonts w:ascii="Arial" w:hAnsi="Arial" w:cs="Arial"/>
                <w:sz w:val="18"/>
              </w:rPr>
              <w:t>n/a</w:t>
            </w:r>
          </w:p>
        </w:tc>
        <w:tc>
          <w:tcPr>
            <w:tcW w:w="1501" w:type="dxa"/>
            <w:shd w:val="clear" w:color="auto" w:fill="F2F2F2" w:themeFill="background1" w:themeFillShade="F2"/>
            <w:vAlign w:val="center"/>
          </w:tcPr>
          <w:p w14:paraId="4C56F2AE" w14:textId="121853EF" w:rsidR="00E756EC" w:rsidRPr="002D143E" w:rsidRDefault="000E1A51" w:rsidP="00050F54">
            <w:pPr>
              <w:jc w:val="center"/>
              <w:rPr>
                <w:rFonts w:ascii="Arial" w:hAnsi="Arial" w:cs="Arial"/>
                <w:sz w:val="18"/>
                <w:szCs w:val="18"/>
              </w:rPr>
            </w:pPr>
            <w:r>
              <w:rPr>
                <w:rFonts w:ascii="Arial" w:hAnsi="Arial" w:cs="Arial"/>
                <w:sz w:val="18"/>
                <w:szCs w:val="18"/>
              </w:rPr>
              <w:t>n/a</w:t>
            </w:r>
          </w:p>
        </w:tc>
        <w:tc>
          <w:tcPr>
            <w:tcW w:w="2935" w:type="dxa"/>
            <w:shd w:val="clear" w:color="auto" w:fill="F2F2F2" w:themeFill="background1" w:themeFillShade="F2"/>
            <w:vAlign w:val="center"/>
          </w:tcPr>
          <w:p w14:paraId="3EA8EA3B" w14:textId="2EB2FAB0" w:rsidR="00E756EC" w:rsidRPr="002D143E" w:rsidRDefault="00494724" w:rsidP="00050F54">
            <w:pPr>
              <w:jc w:val="center"/>
              <w:rPr>
                <w:rFonts w:ascii="Arial" w:hAnsi="Arial" w:cs="Arial"/>
                <w:sz w:val="18"/>
                <w:szCs w:val="18"/>
              </w:rPr>
            </w:pPr>
            <w:r>
              <w:rPr>
                <w:rFonts w:ascii="Arial" w:hAnsi="Arial" w:cs="Arial"/>
                <w:sz w:val="18"/>
                <w:szCs w:val="18"/>
              </w:rPr>
              <w:t>n/a</w:t>
            </w:r>
          </w:p>
        </w:tc>
      </w:tr>
      <w:tr w:rsidR="00E756EC" w14:paraId="49F77807" w14:textId="77777777" w:rsidTr="00324164">
        <w:trPr>
          <w:trHeight w:val="285"/>
          <w:jc w:val="center"/>
        </w:trPr>
        <w:tc>
          <w:tcPr>
            <w:tcW w:w="2514" w:type="dxa"/>
            <w:shd w:val="clear" w:color="auto" w:fill="auto"/>
            <w:vAlign w:val="center"/>
          </w:tcPr>
          <w:p w14:paraId="2946E318" w14:textId="77777777" w:rsidR="00E756EC" w:rsidRDefault="00E756EC" w:rsidP="00050F54">
            <w:pPr>
              <w:rPr>
                <w:rFonts w:ascii="Arial" w:hAnsi="Arial" w:cs="Arial"/>
                <w:b/>
                <w:sz w:val="18"/>
                <w:szCs w:val="18"/>
              </w:rPr>
            </w:pPr>
            <w:r>
              <w:rPr>
                <w:rFonts w:ascii="Arial" w:hAnsi="Arial" w:cs="Arial"/>
                <w:b/>
                <w:sz w:val="18"/>
                <w:szCs w:val="18"/>
              </w:rPr>
              <w:t>Total</w:t>
            </w:r>
          </w:p>
        </w:tc>
        <w:tc>
          <w:tcPr>
            <w:tcW w:w="1254" w:type="dxa"/>
            <w:shd w:val="clear" w:color="auto" w:fill="auto"/>
            <w:vAlign w:val="center"/>
          </w:tcPr>
          <w:p w14:paraId="1F82CAD7" w14:textId="77777777" w:rsidR="00E756EC" w:rsidRDefault="00E756EC" w:rsidP="00050F54">
            <w:pPr>
              <w:jc w:val="center"/>
              <w:rPr>
                <w:rFonts w:ascii="Arial" w:hAnsi="Arial" w:cs="Arial"/>
                <w:b/>
                <w:sz w:val="18"/>
                <w:szCs w:val="18"/>
              </w:rPr>
            </w:pPr>
            <w:r>
              <w:rPr>
                <w:rFonts w:ascii="Arial" w:hAnsi="Arial" w:cs="Arial"/>
                <w:b/>
                <w:sz w:val="18"/>
                <w:szCs w:val="18"/>
              </w:rPr>
              <w:t>100%</w:t>
            </w:r>
          </w:p>
        </w:tc>
        <w:tc>
          <w:tcPr>
            <w:tcW w:w="1724" w:type="dxa"/>
            <w:shd w:val="clear" w:color="auto" w:fill="auto"/>
            <w:vAlign w:val="center"/>
          </w:tcPr>
          <w:p w14:paraId="77AC59A4" w14:textId="77777777" w:rsidR="00E756EC" w:rsidRDefault="00E756EC" w:rsidP="00050F54">
            <w:pPr>
              <w:jc w:val="center"/>
              <w:rPr>
                <w:rFonts w:ascii="Arial" w:hAnsi="Arial" w:cs="Arial"/>
                <w:b/>
                <w:sz w:val="18"/>
                <w:szCs w:val="18"/>
              </w:rPr>
            </w:pPr>
            <w:r>
              <w:rPr>
                <w:rFonts w:ascii="Arial" w:hAnsi="Arial" w:cs="Arial"/>
                <w:b/>
                <w:sz w:val="18"/>
                <w:szCs w:val="18"/>
              </w:rPr>
              <w:t>$100,000</w:t>
            </w:r>
          </w:p>
        </w:tc>
        <w:tc>
          <w:tcPr>
            <w:tcW w:w="1501" w:type="dxa"/>
            <w:vAlign w:val="center"/>
          </w:tcPr>
          <w:p w14:paraId="29F7E9FB" w14:textId="77777777" w:rsidR="00E756EC" w:rsidRPr="002D143E" w:rsidRDefault="00E756EC" w:rsidP="00050F54">
            <w:pPr>
              <w:jc w:val="center"/>
              <w:rPr>
                <w:rFonts w:ascii="Arial" w:hAnsi="Arial" w:cs="Arial"/>
                <w:b/>
                <w:color w:val="FFFFFF" w:themeColor="background1"/>
                <w:sz w:val="18"/>
                <w:szCs w:val="18"/>
              </w:rPr>
            </w:pPr>
          </w:p>
        </w:tc>
        <w:tc>
          <w:tcPr>
            <w:tcW w:w="2935" w:type="dxa"/>
            <w:vAlign w:val="center"/>
          </w:tcPr>
          <w:p w14:paraId="26D81056" w14:textId="77777777" w:rsidR="00E756EC" w:rsidRPr="002D143E" w:rsidRDefault="00E756EC" w:rsidP="00050F54">
            <w:pPr>
              <w:jc w:val="center"/>
              <w:rPr>
                <w:rFonts w:ascii="Arial" w:hAnsi="Arial" w:cs="Arial"/>
                <w:b/>
                <w:color w:val="FFFFFF" w:themeColor="background1"/>
                <w:sz w:val="18"/>
                <w:szCs w:val="18"/>
              </w:rPr>
            </w:pPr>
          </w:p>
        </w:tc>
      </w:tr>
    </w:tbl>
    <w:p w14:paraId="35C474A4" w14:textId="77777777" w:rsidR="00E756EC" w:rsidRDefault="00E756EC" w:rsidP="003062AF">
      <w:pPr>
        <w:spacing w:after="120"/>
        <w:rPr>
          <w:rFonts w:ascii="Arial" w:hAnsi="Arial" w:cs="Arial"/>
          <w:sz w:val="18"/>
        </w:rPr>
      </w:pPr>
    </w:p>
    <w:p w14:paraId="400B77B5" w14:textId="6680AD96" w:rsidR="00050F54" w:rsidRPr="00324164" w:rsidRDefault="00050F54" w:rsidP="00050F54">
      <w:pPr>
        <w:pStyle w:val="Heading4"/>
        <w:rPr>
          <w:color w:val="235043"/>
        </w:rPr>
      </w:pPr>
      <w:r w:rsidRPr="00324164">
        <w:rPr>
          <w:color w:val="235043"/>
        </w:rPr>
        <w:t xml:space="preserve">Quota </w:t>
      </w:r>
      <w:r w:rsidR="00190857">
        <w:rPr>
          <w:color w:val="235043"/>
        </w:rPr>
        <w:t>d</w:t>
      </w:r>
      <w:r w:rsidRPr="00324164">
        <w:rPr>
          <w:color w:val="235043"/>
        </w:rPr>
        <w:t>etails</w:t>
      </w:r>
    </w:p>
    <w:tbl>
      <w:tblPr>
        <w:tblpPr w:leftFromText="180" w:rightFromText="180" w:vertAnchor="text" w:horzAnchor="margin" w:tblpXSpec="center" w:tblpY="119"/>
        <w:tblW w:w="998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2828"/>
        <w:gridCol w:w="1432"/>
        <w:gridCol w:w="19"/>
        <w:gridCol w:w="1413"/>
        <w:gridCol w:w="1432"/>
        <w:gridCol w:w="1432"/>
        <w:gridCol w:w="1432"/>
      </w:tblGrid>
      <w:tr w:rsidR="00324164" w14:paraId="28F1708C" w14:textId="77777777" w:rsidTr="00324164">
        <w:trPr>
          <w:trHeight w:val="567"/>
        </w:trPr>
        <w:tc>
          <w:tcPr>
            <w:tcW w:w="2828" w:type="dxa"/>
            <w:shd w:val="clear" w:color="auto" w:fill="235043"/>
            <w:vAlign w:val="center"/>
          </w:tcPr>
          <w:p w14:paraId="3BD56A92" w14:textId="2771014F" w:rsidR="00050F54" w:rsidRDefault="00050F54" w:rsidP="00050F54">
            <w:pPr>
              <w:rPr>
                <w:rFonts w:ascii="Arial" w:hAnsi="Arial" w:cs="Arial"/>
                <w:b/>
                <w:color w:val="FFFFFF"/>
                <w:sz w:val="18"/>
                <w:szCs w:val="18"/>
              </w:rPr>
            </w:pPr>
            <w:r>
              <w:rPr>
                <w:rFonts w:ascii="Arial" w:hAnsi="Arial" w:cs="Arial"/>
                <w:b/>
                <w:color w:val="FFFFFF"/>
                <w:sz w:val="18"/>
                <w:szCs w:val="18"/>
              </w:rPr>
              <w:t xml:space="preserve">Performance </w:t>
            </w:r>
            <w:r w:rsidR="00525CB9">
              <w:rPr>
                <w:rFonts w:ascii="Arial" w:hAnsi="Arial" w:cs="Arial"/>
                <w:b/>
                <w:color w:val="FFFFFF"/>
                <w:sz w:val="18"/>
                <w:szCs w:val="18"/>
              </w:rPr>
              <w:t>m</w:t>
            </w:r>
            <w:r>
              <w:rPr>
                <w:rFonts w:ascii="Arial" w:hAnsi="Arial" w:cs="Arial"/>
                <w:b/>
                <w:color w:val="FFFFFF"/>
                <w:sz w:val="18"/>
                <w:szCs w:val="18"/>
              </w:rPr>
              <w:t>easure</w:t>
            </w:r>
          </w:p>
        </w:tc>
        <w:tc>
          <w:tcPr>
            <w:tcW w:w="1432" w:type="dxa"/>
            <w:shd w:val="clear" w:color="auto" w:fill="235043"/>
            <w:vAlign w:val="center"/>
          </w:tcPr>
          <w:p w14:paraId="05664127" w14:textId="77777777" w:rsidR="00050F54" w:rsidRDefault="00050F54" w:rsidP="00050F54">
            <w:pPr>
              <w:jc w:val="center"/>
              <w:rPr>
                <w:rFonts w:ascii="Arial" w:hAnsi="Arial" w:cs="Arial"/>
                <w:b/>
                <w:color w:val="FFFFFF"/>
                <w:sz w:val="18"/>
                <w:szCs w:val="18"/>
              </w:rPr>
            </w:pPr>
            <w:r>
              <w:rPr>
                <w:rFonts w:ascii="Arial" w:hAnsi="Arial" w:cs="Arial"/>
                <w:b/>
                <w:color w:val="FFFFFF"/>
                <w:sz w:val="18"/>
                <w:szCs w:val="18"/>
              </w:rPr>
              <w:t>Q1</w:t>
            </w:r>
          </w:p>
          <w:p w14:paraId="3EDE2E0A" w14:textId="77777777" w:rsidR="00050F54" w:rsidRDefault="00050F54" w:rsidP="00050F54">
            <w:pPr>
              <w:jc w:val="center"/>
              <w:rPr>
                <w:rFonts w:ascii="Arial" w:hAnsi="Arial" w:cs="Arial"/>
                <w:b/>
                <w:color w:val="FFFFFF"/>
                <w:sz w:val="18"/>
                <w:szCs w:val="18"/>
              </w:rPr>
            </w:pPr>
            <w:r>
              <w:rPr>
                <w:rFonts w:ascii="Arial" w:hAnsi="Arial" w:cs="Arial"/>
                <w:b/>
                <w:color w:val="FFFFFF"/>
                <w:sz w:val="18"/>
                <w:szCs w:val="18"/>
              </w:rPr>
              <w:t>(Jan – Mar)</w:t>
            </w:r>
          </w:p>
        </w:tc>
        <w:tc>
          <w:tcPr>
            <w:tcW w:w="1432" w:type="dxa"/>
            <w:gridSpan w:val="2"/>
            <w:shd w:val="clear" w:color="auto" w:fill="235043"/>
            <w:vAlign w:val="center"/>
          </w:tcPr>
          <w:p w14:paraId="6C990A4D" w14:textId="77777777" w:rsidR="00050F54" w:rsidRDefault="00050F54" w:rsidP="00050F54">
            <w:pPr>
              <w:jc w:val="center"/>
              <w:rPr>
                <w:rFonts w:ascii="Arial" w:hAnsi="Arial" w:cs="Arial"/>
                <w:b/>
                <w:color w:val="FFFFFF"/>
                <w:sz w:val="18"/>
                <w:szCs w:val="18"/>
              </w:rPr>
            </w:pPr>
            <w:r>
              <w:rPr>
                <w:rFonts w:ascii="Arial" w:hAnsi="Arial" w:cs="Arial"/>
                <w:b/>
                <w:color w:val="FFFFFF"/>
                <w:sz w:val="18"/>
                <w:szCs w:val="18"/>
              </w:rPr>
              <w:t>Q2</w:t>
            </w:r>
          </w:p>
          <w:p w14:paraId="462D0F8D" w14:textId="77777777" w:rsidR="00050F54" w:rsidRDefault="00050F54" w:rsidP="00050F54">
            <w:pPr>
              <w:jc w:val="center"/>
              <w:rPr>
                <w:rFonts w:ascii="Arial" w:hAnsi="Arial" w:cs="Arial"/>
                <w:b/>
                <w:color w:val="FFFFFF"/>
                <w:sz w:val="18"/>
                <w:szCs w:val="18"/>
              </w:rPr>
            </w:pPr>
            <w:r>
              <w:rPr>
                <w:rFonts w:ascii="Arial" w:hAnsi="Arial" w:cs="Arial"/>
                <w:b/>
                <w:color w:val="FFFFFF"/>
                <w:sz w:val="18"/>
                <w:szCs w:val="18"/>
              </w:rPr>
              <w:t>(Apr – Jun)</w:t>
            </w:r>
          </w:p>
        </w:tc>
        <w:tc>
          <w:tcPr>
            <w:tcW w:w="1432" w:type="dxa"/>
            <w:shd w:val="clear" w:color="auto" w:fill="235043"/>
            <w:vAlign w:val="center"/>
          </w:tcPr>
          <w:p w14:paraId="49BA7D7F" w14:textId="77777777" w:rsidR="00050F54" w:rsidRDefault="00050F54" w:rsidP="00050F54">
            <w:pPr>
              <w:jc w:val="center"/>
              <w:rPr>
                <w:rFonts w:ascii="Arial" w:hAnsi="Arial" w:cs="Arial"/>
                <w:b/>
                <w:color w:val="FFFFFF"/>
                <w:sz w:val="18"/>
                <w:szCs w:val="18"/>
              </w:rPr>
            </w:pPr>
            <w:r>
              <w:rPr>
                <w:rFonts w:ascii="Arial" w:hAnsi="Arial" w:cs="Arial"/>
                <w:b/>
                <w:color w:val="FFFFFF"/>
                <w:sz w:val="18"/>
                <w:szCs w:val="18"/>
              </w:rPr>
              <w:t>Q3</w:t>
            </w:r>
          </w:p>
          <w:p w14:paraId="126D52D9" w14:textId="77777777" w:rsidR="00050F54" w:rsidRDefault="00050F54" w:rsidP="00050F54">
            <w:pPr>
              <w:jc w:val="center"/>
              <w:rPr>
                <w:rFonts w:ascii="Arial" w:hAnsi="Arial" w:cs="Arial"/>
                <w:b/>
                <w:color w:val="FFFFFF"/>
                <w:sz w:val="18"/>
                <w:szCs w:val="18"/>
              </w:rPr>
            </w:pPr>
            <w:r>
              <w:rPr>
                <w:rFonts w:ascii="Arial" w:hAnsi="Arial" w:cs="Arial"/>
                <w:b/>
                <w:color w:val="FFFFFF"/>
                <w:sz w:val="18"/>
                <w:szCs w:val="18"/>
              </w:rPr>
              <w:t>(Jul – Sep)</w:t>
            </w:r>
          </w:p>
        </w:tc>
        <w:tc>
          <w:tcPr>
            <w:tcW w:w="1432" w:type="dxa"/>
            <w:shd w:val="clear" w:color="auto" w:fill="235043"/>
            <w:vAlign w:val="center"/>
          </w:tcPr>
          <w:p w14:paraId="070FFCEB" w14:textId="77777777" w:rsidR="00050F54" w:rsidRDefault="00050F54" w:rsidP="00050F54">
            <w:pPr>
              <w:jc w:val="center"/>
              <w:rPr>
                <w:rFonts w:ascii="Arial" w:hAnsi="Arial" w:cs="Arial"/>
                <w:b/>
                <w:color w:val="FFFFFF"/>
                <w:sz w:val="18"/>
                <w:szCs w:val="18"/>
              </w:rPr>
            </w:pPr>
            <w:r>
              <w:rPr>
                <w:rFonts w:ascii="Arial" w:hAnsi="Arial" w:cs="Arial"/>
                <w:b/>
                <w:color w:val="FFFFFF"/>
                <w:sz w:val="18"/>
                <w:szCs w:val="18"/>
              </w:rPr>
              <w:t>Q4</w:t>
            </w:r>
          </w:p>
          <w:p w14:paraId="0B666BB0" w14:textId="77777777" w:rsidR="00050F54" w:rsidRDefault="00050F54" w:rsidP="00050F54">
            <w:pPr>
              <w:jc w:val="center"/>
              <w:rPr>
                <w:rFonts w:ascii="Arial" w:hAnsi="Arial" w:cs="Arial"/>
                <w:b/>
                <w:color w:val="FFFFFF"/>
                <w:sz w:val="18"/>
                <w:szCs w:val="18"/>
              </w:rPr>
            </w:pPr>
            <w:r>
              <w:rPr>
                <w:rFonts w:ascii="Arial" w:hAnsi="Arial" w:cs="Arial"/>
                <w:b/>
                <w:color w:val="FFFFFF"/>
                <w:sz w:val="18"/>
                <w:szCs w:val="18"/>
              </w:rPr>
              <w:t>(Oct – Dec)</w:t>
            </w:r>
          </w:p>
        </w:tc>
        <w:tc>
          <w:tcPr>
            <w:tcW w:w="1432" w:type="dxa"/>
            <w:shd w:val="clear" w:color="auto" w:fill="235043"/>
            <w:vAlign w:val="center"/>
          </w:tcPr>
          <w:p w14:paraId="733DE7C5" w14:textId="77777777" w:rsidR="00050F54" w:rsidRDefault="00050F54" w:rsidP="00050F54">
            <w:pPr>
              <w:jc w:val="center"/>
              <w:rPr>
                <w:rFonts w:ascii="Arial" w:hAnsi="Arial" w:cs="Arial"/>
                <w:b/>
                <w:color w:val="FFFFFF"/>
                <w:sz w:val="18"/>
                <w:szCs w:val="18"/>
              </w:rPr>
            </w:pPr>
            <w:r>
              <w:rPr>
                <w:rFonts w:ascii="Arial" w:hAnsi="Arial" w:cs="Arial"/>
                <w:b/>
                <w:color w:val="FFFFFF"/>
                <w:sz w:val="18"/>
                <w:szCs w:val="18"/>
              </w:rPr>
              <w:t>Total</w:t>
            </w:r>
          </w:p>
        </w:tc>
      </w:tr>
      <w:tr w:rsidR="008B4538" w14:paraId="49288200" w14:textId="77777777" w:rsidTr="008B4538">
        <w:trPr>
          <w:trHeight w:val="287"/>
        </w:trPr>
        <w:tc>
          <w:tcPr>
            <w:tcW w:w="2828" w:type="dxa"/>
            <w:shd w:val="clear" w:color="auto" w:fill="F2F2F2" w:themeFill="background1" w:themeFillShade="F2"/>
            <w:vAlign w:val="center"/>
          </w:tcPr>
          <w:p w14:paraId="517767A0" w14:textId="77777777" w:rsidR="00050F54" w:rsidRDefault="00050F54" w:rsidP="00050F54">
            <w:pPr>
              <w:rPr>
                <w:rFonts w:ascii="Arial" w:hAnsi="Arial" w:cs="Arial"/>
                <w:sz w:val="18"/>
                <w:szCs w:val="18"/>
              </w:rPr>
            </w:pPr>
            <w:r>
              <w:rPr>
                <w:rFonts w:ascii="Arial" w:hAnsi="Arial" w:cs="Arial"/>
                <w:sz w:val="18"/>
                <w:szCs w:val="18"/>
              </w:rPr>
              <w:t>New Bookings</w:t>
            </w:r>
          </w:p>
        </w:tc>
        <w:tc>
          <w:tcPr>
            <w:tcW w:w="1451" w:type="dxa"/>
            <w:gridSpan w:val="2"/>
            <w:shd w:val="clear" w:color="auto" w:fill="F2F2F2" w:themeFill="background1" w:themeFillShade="F2"/>
            <w:vAlign w:val="center"/>
          </w:tcPr>
          <w:p w14:paraId="6CCF4AE0" w14:textId="77777777" w:rsidR="00050F54" w:rsidRPr="00C70179" w:rsidRDefault="00050F54" w:rsidP="00050F54">
            <w:pPr>
              <w:jc w:val="right"/>
              <w:rPr>
                <w:rFonts w:ascii="Arial" w:hAnsi="Arial" w:cs="Arial"/>
                <w:sz w:val="18"/>
              </w:rPr>
            </w:pPr>
            <w:r>
              <w:rPr>
                <w:rFonts w:ascii="Arial" w:hAnsi="Arial" w:cs="Arial"/>
                <w:sz w:val="18"/>
              </w:rPr>
              <w:t>$350,000</w:t>
            </w:r>
          </w:p>
        </w:tc>
        <w:tc>
          <w:tcPr>
            <w:tcW w:w="1413" w:type="dxa"/>
            <w:shd w:val="clear" w:color="auto" w:fill="F2F2F2" w:themeFill="background1" w:themeFillShade="F2"/>
            <w:vAlign w:val="center"/>
          </w:tcPr>
          <w:p w14:paraId="677866D6" w14:textId="77777777" w:rsidR="00050F54" w:rsidRPr="00C70179" w:rsidRDefault="00050F54" w:rsidP="00050F54">
            <w:pPr>
              <w:jc w:val="right"/>
              <w:rPr>
                <w:rFonts w:ascii="Arial" w:hAnsi="Arial" w:cs="Arial"/>
                <w:sz w:val="18"/>
              </w:rPr>
            </w:pPr>
            <w:r>
              <w:rPr>
                <w:rFonts w:ascii="Arial" w:hAnsi="Arial" w:cs="Arial"/>
                <w:sz w:val="18"/>
              </w:rPr>
              <w:t>$400,000</w:t>
            </w:r>
          </w:p>
        </w:tc>
        <w:tc>
          <w:tcPr>
            <w:tcW w:w="1432" w:type="dxa"/>
            <w:shd w:val="clear" w:color="auto" w:fill="F2F2F2" w:themeFill="background1" w:themeFillShade="F2"/>
            <w:vAlign w:val="center"/>
          </w:tcPr>
          <w:p w14:paraId="110E1C80" w14:textId="77777777" w:rsidR="00050F54" w:rsidRPr="00C70179" w:rsidRDefault="00050F54" w:rsidP="00050F54">
            <w:pPr>
              <w:jc w:val="right"/>
              <w:rPr>
                <w:rFonts w:ascii="Arial" w:hAnsi="Arial" w:cs="Arial"/>
                <w:sz w:val="18"/>
              </w:rPr>
            </w:pPr>
            <w:r>
              <w:rPr>
                <w:rFonts w:ascii="Arial" w:hAnsi="Arial" w:cs="Arial"/>
                <w:sz w:val="18"/>
              </w:rPr>
              <w:t>$400,000</w:t>
            </w:r>
          </w:p>
        </w:tc>
        <w:tc>
          <w:tcPr>
            <w:tcW w:w="1432" w:type="dxa"/>
            <w:shd w:val="clear" w:color="auto" w:fill="F2F2F2" w:themeFill="background1" w:themeFillShade="F2"/>
            <w:vAlign w:val="center"/>
          </w:tcPr>
          <w:p w14:paraId="65681E88" w14:textId="77777777" w:rsidR="00050F54" w:rsidRPr="00C70179" w:rsidRDefault="00050F54" w:rsidP="00050F54">
            <w:pPr>
              <w:jc w:val="right"/>
              <w:rPr>
                <w:rFonts w:ascii="Arial" w:hAnsi="Arial" w:cs="Arial"/>
                <w:sz w:val="18"/>
              </w:rPr>
            </w:pPr>
            <w:r>
              <w:rPr>
                <w:rFonts w:ascii="Arial" w:hAnsi="Arial" w:cs="Arial"/>
                <w:sz w:val="18"/>
              </w:rPr>
              <w:t>$500,000</w:t>
            </w:r>
          </w:p>
        </w:tc>
        <w:tc>
          <w:tcPr>
            <w:tcW w:w="1432" w:type="dxa"/>
            <w:shd w:val="clear" w:color="auto" w:fill="F2F2F2" w:themeFill="background1" w:themeFillShade="F2"/>
            <w:vAlign w:val="center"/>
          </w:tcPr>
          <w:p w14:paraId="666844E9" w14:textId="77777777" w:rsidR="00050F54" w:rsidRPr="00052F42" w:rsidRDefault="00050F54" w:rsidP="00050F54">
            <w:pPr>
              <w:jc w:val="right"/>
              <w:rPr>
                <w:rFonts w:ascii="Arial" w:hAnsi="Arial" w:cs="Arial"/>
                <w:b/>
                <w:color w:val="000000"/>
                <w:sz w:val="18"/>
              </w:rPr>
            </w:pPr>
            <w:r>
              <w:rPr>
                <w:rFonts w:ascii="Arial" w:hAnsi="Arial" w:cs="Arial"/>
                <w:sz w:val="18"/>
                <w:szCs w:val="18"/>
              </w:rPr>
              <w:t>$1,650,000</w:t>
            </w:r>
          </w:p>
        </w:tc>
      </w:tr>
      <w:tr w:rsidR="00050F54" w14:paraId="7BF8BD8E" w14:textId="77777777" w:rsidTr="00324164">
        <w:trPr>
          <w:trHeight w:val="287"/>
        </w:trPr>
        <w:tc>
          <w:tcPr>
            <w:tcW w:w="2828" w:type="dxa"/>
            <w:tcBorders>
              <w:bottom w:val="single" w:sz="4" w:space="0" w:color="D9D9D9" w:themeColor="background1" w:themeShade="D9"/>
            </w:tcBorders>
            <w:shd w:val="clear" w:color="auto" w:fill="auto"/>
            <w:vAlign w:val="center"/>
          </w:tcPr>
          <w:p w14:paraId="13592ABC" w14:textId="77777777" w:rsidR="00050F54" w:rsidRPr="0010694F" w:rsidRDefault="00050F54" w:rsidP="00050F54">
            <w:pPr>
              <w:rPr>
                <w:rFonts w:ascii="Arial" w:hAnsi="Arial" w:cs="Arial"/>
                <w:b/>
                <w:sz w:val="18"/>
                <w:szCs w:val="18"/>
              </w:rPr>
            </w:pPr>
            <w:r w:rsidRPr="0010694F">
              <w:rPr>
                <w:rFonts w:ascii="Arial" w:hAnsi="Arial" w:cs="Arial"/>
                <w:b/>
                <w:sz w:val="18"/>
                <w:szCs w:val="18"/>
              </w:rPr>
              <w:t>Total</w:t>
            </w:r>
          </w:p>
        </w:tc>
        <w:tc>
          <w:tcPr>
            <w:tcW w:w="1451" w:type="dxa"/>
            <w:gridSpan w:val="2"/>
            <w:tcBorders>
              <w:bottom w:val="single" w:sz="4" w:space="0" w:color="D9D9D9" w:themeColor="background1" w:themeShade="D9"/>
            </w:tcBorders>
            <w:shd w:val="clear" w:color="auto" w:fill="auto"/>
            <w:vAlign w:val="center"/>
          </w:tcPr>
          <w:p w14:paraId="5EC93999" w14:textId="77777777" w:rsidR="00050F54" w:rsidRPr="0010694F" w:rsidRDefault="00050F54" w:rsidP="00050F54">
            <w:pPr>
              <w:jc w:val="right"/>
              <w:rPr>
                <w:rFonts w:ascii="Arial" w:hAnsi="Arial" w:cs="Arial"/>
                <w:b/>
                <w:sz w:val="18"/>
              </w:rPr>
            </w:pPr>
            <w:r w:rsidRPr="0010694F">
              <w:rPr>
                <w:rFonts w:ascii="Arial" w:hAnsi="Arial" w:cs="Arial"/>
                <w:b/>
                <w:sz w:val="18"/>
              </w:rPr>
              <w:t>$350,000</w:t>
            </w:r>
          </w:p>
        </w:tc>
        <w:tc>
          <w:tcPr>
            <w:tcW w:w="1413" w:type="dxa"/>
            <w:tcBorders>
              <w:bottom w:val="single" w:sz="4" w:space="0" w:color="D9D9D9" w:themeColor="background1" w:themeShade="D9"/>
            </w:tcBorders>
            <w:shd w:val="clear" w:color="auto" w:fill="auto"/>
            <w:vAlign w:val="center"/>
          </w:tcPr>
          <w:p w14:paraId="68B39179" w14:textId="77777777" w:rsidR="00050F54" w:rsidRPr="0010694F" w:rsidRDefault="00050F54" w:rsidP="00050F54">
            <w:pPr>
              <w:jc w:val="right"/>
              <w:rPr>
                <w:rFonts w:ascii="Arial" w:hAnsi="Arial" w:cs="Arial"/>
                <w:b/>
                <w:sz w:val="18"/>
              </w:rPr>
            </w:pPr>
            <w:r w:rsidRPr="0010694F">
              <w:rPr>
                <w:rFonts w:ascii="Arial" w:hAnsi="Arial" w:cs="Arial"/>
                <w:b/>
                <w:sz w:val="18"/>
              </w:rPr>
              <w:t>$400,000</w:t>
            </w:r>
          </w:p>
        </w:tc>
        <w:tc>
          <w:tcPr>
            <w:tcW w:w="1432" w:type="dxa"/>
            <w:tcBorders>
              <w:bottom w:val="single" w:sz="4" w:space="0" w:color="D9D9D9" w:themeColor="background1" w:themeShade="D9"/>
            </w:tcBorders>
            <w:shd w:val="clear" w:color="auto" w:fill="auto"/>
            <w:vAlign w:val="center"/>
          </w:tcPr>
          <w:p w14:paraId="4BE0C891" w14:textId="77777777" w:rsidR="00050F54" w:rsidRPr="0010694F" w:rsidRDefault="00050F54" w:rsidP="00050F54">
            <w:pPr>
              <w:jc w:val="right"/>
              <w:rPr>
                <w:rFonts w:ascii="Arial" w:hAnsi="Arial" w:cs="Arial"/>
                <w:b/>
                <w:sz w:val="18"/>
              </w:rPr>
            </w:pPr>
            <w:r w:rsidRPr="0010694F">
              <w:rPr>
                <w:rFonts w:ascii="Arial" w:hAnsi="Arial" w:cs="Arial"/>
                <w:b/>
                <w:sz w:val="18"/>
              </w:rPr>
              <w:t>$400,000</w:t>
            </w:r>
          </w:p>
        </w:tc>
        <w:tc>
          <w:tcPr>
            <w:tcW w:w="1432" w:type="dxa"/>
            <w:tcBorders>
              <w:bottom w:val="single" w:sz="4" w:space="0" w:color="D9D9D9" w:themeColor="background1" w:themeShade="D9"/>
            </w:tcBorders>
            <w:shd w:val="clear" w:color="auto" w:fill="auto"/>
            <w:vAlign w:val="center"/>
          </w:tcPr>
          <w:p w14:paraId="097B34F3" w14:textId="77777777" w:rsidR="00050F54" w:rsidRPr="0010694F" w:rsidRDefault="00050F54" w:rsidP="00050F54">
            <w:pPr>
              <w:jc w:val="right"/>
              <w:rPr>
                <w:rFonts w:ascii="Arial" w:hAnsi="Arial" w:cs="Arial"/>
                <w:b/>
                <w:sz w:val="18"/>
              </w:rPr>
            </w:pPr>
            <w:r w:rsidRPr="0010694F">
              <w:rPr>
                <w:rFonts w:ascii="Arial" w:hAnsi="Arial" w:cs="Arial"/>
                <w:b/>
                <w:sz w:val="18"/>
              </w:rPr>
              <w:t>$500,000</w:t>
            </w:r>
          </w:p>
        </w:tc>
        <w:tc>
          <w:tcPr>
            <w:tcW w:w="1432" w:type="dxa"/>
            <w:tcBorders>
              <w:bottom w:val="single" w:sz="4" w:space="0" w:color="D9D9D9" w:themeColor="background1" w:themeShade="D9"/>
            </w:tcBorders>
            <w:vAlign w:val="center"/>
          </w:tcPr>
          <w:p w14:paraId="56AB12B0" w14:textId="77777777" w:rsidR="00050F54" w:rsidRPr="0010694F" w:rsidRDefault="00050F54" w:rsidP="00050F54">
            <w:pPr>
              <w:jc w:val="right"/>
              <w:rPr>
                <w:rFonts w:ascii="Arial" w:hAnsi="Arial" w:cs="Arial"/>
                <w:b/>
                <w:bCs/>
                <w:color w:val="000000"/>
                <w:sz w:val="18"/>
              </w:rPr>
            </w:pPr>
            <w:r w:rsidRPr="0010694F">
              <w:rPr>
                <w:rFonts w:ascii="Arial" w:hAnsi="Arial" w:cs="Arial"/>
                <w:b/>
                <w:sz w:val="18"/>
                <w:szCs w:val="18"/>
              </w:rPr>
              <w:t>$1,650,000</w:t>
            </w:r>
          </w:p>
        </w:tc>
      </w:tr>
    </w:tbl>
    <w:p w14:paraId="3E44E107" w14:textId="77777777" w:rsidR="00050F54" w:rsidRDefault="00050F54" w:rsidP="00050F54"/>
    <w:p w14:paraId="5A2DEDB1" w14:textId="35C4B0AA" w:rsidR="00050F54" w:rsidRPr="00324164" w:rsidRDefault="00050F54" w:rsidP="00050F54">
      <w:pPr>
        <w:pStyle w:val="Heading4"/>
        <w:rPr>
          <w:color w:val="235043"/>
        </w:rPr>
      </w:pPr>
      <w:r w:rsidRPr="00324164">
        <w:rPr>
          <w:color w:val="235043"/>
        </w:rPr>
        <w:t xml:space="preserve">Approval / </w:t>
      </w:r>
      <w:r w:rsidR="00190857">
        <w:rPr>
          <w:color w:val="235043"/>
        </w:rPr>
        <w:t>a</w:t>
      </w:r>
      <w:r w:rsidRPr="00324164">
        <w:rPr>
          <w:color w:val="235043"/>
        </w:rPr>
        <w:t>cceptance</w:t>
      </w:r>
    </w:p>
    <w:p w14:paraId="5EC6C1FE" w14:textId="29C087FE" w:rsidR="00E756EC" w:rsidRPr="00C033F2" w:rsidRDefault="00E756EC" w:rsidP="00E756EC">
      <w:pPr>
        <w:spacing w:before="120" w:after="120"/>
        <w:rPr>
          <w:rFonts w:ascii="Arial" w:hAnsi="Arial" w:cs="Arial"/>
          <w:sz w:val="16"/>
        </w:rPr>
      </w:pPr>
      <w:r w:rsidRPr="00C033F2">
        <w:rPr>
          <w:rFonts w:ascii="Arial" w:hAnsi="Arial" w:cs="Arial"/>
          <w:sz w:val="16"/>
        </w:rPr>
        <w:t xml:space="preserve">I hereby acknowledge that I have received a copy of the </w:t>
      </w:r>
      <w:r w:rsidRPr="00050F54">
        <w:rPr>
          <w:rFonts w:ascii="Arial" w:hAnsi="Arial" w:cs="Arial"/>
          <w:sz w:val="16"/>
          <w:highlight w:val="yellow"/>
        </w:rPr>
        <w:t>20</w:t>
      </w:r>
      <w:r w:rsidR="00050F54" w:rsidRPr="00050F54">
        <w:rPr>
          <w:rFonts w:ascii="Arial" w:hAnsi="Arial" w:cs="Arial"/>
          <w:sz w:val="16"/>
          <w:highlight w:val="yellow"/>
        </w:rPr>
        <w:t>XX</w:t>
      </w:r>
      <w:r w:rsidRPr="00C033F2">
        <w:rPr>
          <w:rFonts w:ascii="Arial" w:hAnsi="Arial" w:cs="Arial"/>
          <w:sz w:val="16"/>
        </w:rPr>
        <w:t xml:space="preserve"> Sales Compensation Plan effective </w:t>
      </w:r>
      <w:r w:rsidR="00050F54" w:rsidRPr="00050F54">
        <w:rPr>
          <w:rFonts w:ascii="Arial" w:hAnsi="Arial" w:cs="Arial"/>
          <w:sz w:val="16"/>
          <w:highlight w:val="yellow"/>
        </w:rPr>
        <w:t>January 1, 20XX</w:t>
      </w:r>
      <w:r w:rsidR="00050F54" w:rsidRPr="00C033F2">
        <w:rPr>
          <w:rFonts w:ascii="Arial" w:hAnsi="Arial" w:cs="Arial"/>
          <w:sz w:val="16"/>
        </w:rPr>
        <w:t xml:space="preserve"> </w:t>
      </w:r>
      <w:r w:rsidRPr="00C033F2">
        <w:rPr>
          <w:rFonts w:ascii="Arial" w:hAnsi="Arial" w:cs="Arial"/>
          <w:sz w:val="16"/>
        </w:rPr>
        <w:t xml:space="preserve">or the Participant’s start date (whichever is later) and ends </w:t>
      </w:r>
      <w:r w:rsidRPr="00050F54">
        <w:rPr>
          <w:rFonts w:ascii="Arial" w:hAnsi="Arial" w:cs="Arial"/>
          <w:sz w:val="16"/>
          <w:highlight w:val="yellow"/>
        </w:rPr>
        <w:t>December 31, 20</w:t>
      </w:r>
      <w:r w:rsidR="00050F54" w:rsidRPr="00050F54">
        <w:rPr>
          <w:rFonts w:ascii="Arial" w:hAnsi="Arial" w:cs="Arial"/>
          <w:sz w:val="16"/>
          <w:highlight w:val="yellow"/>
        </w:rPr>
        <w:t>XX</w:t>
      </w:r>
      <w:r w:rsidRPr="00C033F2">
        <w:rPr>
          <w:rFonts w:ascii="Arial" w:hAnsi="Arial" w:cs="Arial"/>
          <w:sz w:val="16"/>
        </w:rPr>
        <w:t xml:space="preserve"> or until another plan replaces this one (whichever is later). </w:t>
      </w:r>
    </w:p>
    <w:p w14:paraId="0A0D1D4B" w14:textId="77777777" w:rsidR="00E756EC" w:rsidRPr="00C033F2" w:rsidRDefault="00E756EC" w:rsidP="00E756EC">
      <w:pPr>
        <w:spacing w:before="120" w:after="120"/>
        <w:rPr>
          <w:rFonts w:ascii="Arial" w:hAnsi="Arial" w:cs="Arial"/>
          <w:sz w:val="16"/>
        </w:rPr>
      </w:pPr>
      <w:r w:rsidRPr="00C033F2">
        <w:rPr>
          <w:rFonts w:ascii="Arial" w:hAnsi="Arial" w:cs="Arial"/>
          <w:sz w:val="16"/>
        </w:rPr>
        <w:t>I accept the terms and conditions of the Plan as outlined above, and I agree that my compensation will be determined according to those terms and conditions.</w:t>
      </w:r>
    </w:p>
    <w:p w14:paraId="34298EED" w14:textId="77777777" w:rsidR="00E756EC" w:rsidRPr="00C033F2" w:rsidRDefault="00E756EC" w:rsidP="00E756EC">
      <w:pPr>
        <w:spacing w:before="120" w:after="120"/>
        <w:rPr>
          <w:rFonts w:ascii="Arial" w:hAnsi="Arial" w:cs="Arial"/>
          <w:sz w:val="16"/>
        </w:rPr>
      </w:pPr>
      <w:r w:rsidRPr="00C033F2">
        <w:rPr>
          <w:rFonts w:ascii="Arial" w:hAnsi="Arial" w:cs="Arial"/>
          <w:sz w:val="16"/>
        </w:rPr>
        <w:t xml:space="preserve">I understand that my participation in the Plan does not give me any right to continued employment with the Company and that such participation does not change my status as an at-will employee. The Company or I may terminate the employment relationship at any time.  </w:t>
      </w:r>
    </w:p>
    <w:p w14:paraId="395CFB48" w14:textId="35044342" w:rsidR="00E756EC" w:rsidRPr="00C033F2" w:rsidRDefault="00E756EC" w:rsidP="00E756EC">
      <w:pPr>
        <w:spacing w:before="120" w:after="120"/>
        <w:rPr>
          <w:rFonts w:ascii="Arial" w:hAnsi="Arial" w:cs="Arial"/>
          <w:sz w:val="16"/>
        </w:rPr>
      </w:pPr>
      <w:r w:rsidRPr="00C033F2">
        <w:rPr>
          <w:rFonts w:ascii="Arial" w:hAnsi="Arial" w:cs="Arial"/>
          <w:sz w:val="16"/>
        </w:rPr>
        <w:t xml:space="preserve">This Plan will become effective on </w:t>
      </w:r>
      <w:r w:rsidRPr="00050F54">
        <w:rPr>
          <w:rFonts w:ascii="Arial" w:hAnsi="Arial" w:cs="Arial"/>
          <w:sz w:val="16"/>
          <w:highlight w:val="yellow"/>
        </w:rPr>
        <w:t>January 1, 20</w:t>
      </w:r>
      <w:r w:rsidR="00050F54" w:rsidRPr="00050F54">
        <w:rPr>
          <w:rFonts w:ascii="Arial" w:hAnsi="Arial" w:cs="Arial"/>
          <w:sz w:val="16"/>
          <w:highlight w:val="yellow"/>
        </w:rPr>
        <w:t>XX</w:t>
      </w:r>
      <w:r w:rsidRPr="00C033F2">
        <w:rPr>
          <w:rFonts w:ascii="Arial" w:hAnsi="Arial" w:cs="Arial"/>
          <w:sz w:val="16"/>
        </w:rPr>
        <w:t xml:space="preserve"> or o</w:t>
      </w:r>
      <w:r>
        <w:rPr>
          <w:rFonts w:ascii="Arial" w:hAnsi="Arial" w:cs="Arial"/>
          <w:sz w:val="16"/>
        </w:rPr>
        <w:t xml:space="preserve">n the Participant’s start date </w:t>
      </w:r>
      <w:r w:rsidRPr="00C033F2">
        <w:rPr>
          <w:rFonts w:ascii="Arial" w:hAnsi="Arial" w:cs="Arial"/>
          <w:sz w:val="16"/>
        </w:rPr>
        <w:t xml:space="preserve">and it will replace </w:t>
      </w:r>
      <w:proofErr w:type="gramStart"/>
      <w:r w:rsidRPr="00C033F2">
        <w:rPr>
          <w:rFonts w:ascii="Arial" w:hAnsi="Arial" w:cs="Arial"/>
          <w:sz w:val="16"/>
        </w:rPr>
        <w:t>any and all</w:t>
      </w:r>
      <w:proofErr w:type="gramEnd"/>
      <w:r w:rsidRPr="00C033F2">
        <w:rPr>
          <w:rFonts w:ascii="Arial" w:hAnsi="Arial" w:cs="Arial"/>
          <w:sz w:val="16"/>
        </w:rPr>
        <w:t xml:space="preserve"> prior compensation plans or understandings, either written or oral, with respect to incentive compensation, bonuses</w:t>
      </w:r>
      <w:r w:rsidR="003E1AB8">
        <w:rPr>
          <w:rFonts w:ascii="Arial" w:hAnsi="Arial" w:cs="Arial"/>
          <w:sz w:val="16"/>
        </w:rPr>
        <w:t>,</w:t>
      </w:r>
      <w:r w:rsidRPr="00C033F2">
        <w:rPr>
          <w:rFonts w:ascii="Arial" w:hAnsi="Arial" w:cs="Arial"/>
          <w:sz w:val="16"/>
        </w:rPr>
        <w:t xml:space="preserve"> or commissions.</w:t>
      </w:r>
    </w:p>
    <w:p w14:paraId="3F20C330" w14:textId="4B8AFAC3" w:rsidR="00E756EC" w:rsidRPr="00A30826" w:rsidRDefault="00E756EC" w:rsidP="00E756EC">
      <w:pPr>
        <w:spacing w:before="120" w:after="120"/>
        <w:rPr>
          <w:rFonts w:ascii="Arial" w:hAnsi="Arial" w:cs="Arial"/>
          <w:sz w:val="16"/>
        </w:rPr>
      </w:pPr>
      <w:r w:rsidRPr="00C033F2">
        <w:rPr>
          <w:rFonts w:ascii="Arial" w:hAnsi="Arial" w:cs="Arial"/>
          <w:sz w:val="16"/>
        </w:rPr>
        <w:t xml:space="preserve">By signing below, I authorize the Company to deduct any advanced </w:t>
      </w:r>
      <w:r w:rsidR="003E1AB8">
        <w:rPr>
          <w:rFonts w:ascii="Arial" w:hAnsi="Arial" w:cs="Arial"/>
          <w:sz w:val="16"/>
        </w:rPr>
        <w:t>i</w:t>
      </w:r>
      <w:r w:rsidRPr="00C033F2">
        <w:rPr>
          <w:rFonts w:ascii="Arial" w:hAnsi="Arial" w:cs="Arial"/>
          <w:sz w:val="16"/>
        </w:rPr>
        <w:t>ncentive payments</w:t>
      </w:r>
      <w:r w:rsidR="003E1AB8">
        <w:rPr>
          <w:rFonts w:ascii="Arial" w:hAnsi="Arial" w:cs="Arial"/>
          <w:sz w:val="16"/>
        </w:rPr>
        <w:t>,</w:t>
      </w:r>
      <w:r w:rsidRPr="00C033F2">
        <w:rPr>
          <w:rFonts w:ascii="Arial" w:hAnsi="Arial" w:cs="Arial"/>
          <w:sz w:val="16"/>
        </w:rPr>
        <w:t xml:space="preserve"> pursuant to the Plan terms</w:t>
      </w:r>
      <w:r w:rsidR="003E1AB8">
        <w:rPr>
          <w:rFonts w:ascii="Arial" w:hAnsi="Arial" w:cs="Arial"/>
          <w:sz w:val="16"/>
        </w:rPr>
        <w:t xml:space="preserve">, </w:t>
      </w:r>
      <w:r w:rsidRPr="00C033F2">
        <w:rPr>
          <w:rFonts w:ascii="Arial" w:hAnsi="Arial" w:cs="Arial"/>
          <w:sz w:val="16"/>
        </w:rPr>
        <w:t xml:space="preserve">from my future </w:t>
      </w:r>
      <w:r w:rsidR="003E1AB8">
        <w:rPr>
          <w:rFonts w:ascii="Arial" w:hAnsi="Arial" w:cs="Arial"/>
          <w:sz w:val="16"/>
        </w:rPr>
        <w:t>q</w:t>
      </w:r>
      <w:r w:rsidRPr="00C033F2">
        <w:rPr>
          <w:rFonts w:ascii="Arial" w:hAnsi="Arial" w:cs="Arial"/>
          <w:sz w:val="16"/>
        </w:rPr>
        <w:t xml:space="preserve">uota credit, </w:t>
      </w:r>
      <w:r w:rsidR="003E1AB8">
        <w:rPr>
          <w:rFonts w:ascii="Arial" w:hAnsi="Arial" w:cs="Arial"/>
          <w:sz w:val="16"/>
        </w:rPr>
        <w:t>i</w:t>
      </w:r>
      <w:r w:rsidRPr="00C033F2">
        <w:rPr>
          <w:rFonts w:ascii="Arial" w:hAnsi="Arial" w:cs="Arial"/>
          <w:sz w:val="16"/>
        </w:rPr>
        <w:t>ncentive payments, base salary paychecks</w:t>
      </w:r>
      <w:r w:rsidR="003E1AB8">
        <w:rPr>
          <w:rFonts w:ascii="Arial" w:hAnsi="Arial" w:cs="Arial"/>
          <w:sz w:val="16"/>
        </w:rPr>
        <w:t>,</w:t>
      </w:r>
      <w:r w:rsidRPr="00C033F2">
        <w:rPr>
          <w:rFonts w:ascii="Arial" w:hAnsi="Arial" w:cs="Arial"/>
          <w:sz w:val="16"/>
        </w:rPr>
        <w:t xml:space="preserve"> or final pay upon termination.</w:t>
      </w:r>
    </w:p>
    <w:p w14:paraId="66ECCD98" w14:textId="77777777" w:rsidR="00E756EC" w:rsidRDefault="00E756EC" w:rsidP="00E756EC">
      <w:pPr>
        <w:spacing w:before="120" w:after="120"/>
        <w:rPr>
          <w:rFonts w:ascii="Arial" w:hAnsi="Arial" w:cs="Arial"/>
          <w:b/>
          <w:bCs/>
        </w:rPr>
      </w:pPr>
      <w:r>
        <w:rPr>
          <w:rFonts w:ascii="Arial" w:hAnsi="Arial" w:cs="Arial"/>
          <w:b/>
          <w:bCs/>
          <w:noProof/>
        </w:rPr>
        <mc:AlternateContent>
          <mc:Choice Requires="wps">
            <w:drawing>
              <wp:anchor distT="0" distB="0" distL="114300" distR="114300" simplePos="0" relativeHeight="251659264" behindDoc="0" locked="0" layoutInCell="1" allowOverlap="1" wp14:anchorId="2ECD4E3A" wp14:editId="153ED6F2">
                <wp:simplePos x="0" y="0"/>
                <wp:positionH relativeFrom="column">
                  <wp:posOffset>-43815</wp:posOffset>
                </wp:positionH>
                <wp:positionV relativeFrom="paragraph">
                  <wp:posOffset>149860</wp:posOffset>
                </wp:positionV>
                <wp:extent cx="6734175" cy="135255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4175" cy="1352550"/>
                        </a:xfrm>
                        <a:prstGeom prst="rect">
                          <a:avLst/>
                        </a:prstGeom>
                        <a:noFill/>
                        <a:ln w="952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61185" id="Rectangle 5" o:spid="_x0000_s1026" style="position:absolute;margin-left:-3.45pt;margin-top:11.8pt;width:530.2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" filled="f" strokecolor="#bfbfbf [2412]">
                <v:path arrowok="t"/>
              </v:rect>
            </w:pict>
          </mc:Fallback>
        </mc:AlternateContent>
      </w:r>
    </w:p>
    <w:p w14:paraId="25983329" w14:textId="77777777" w:rsidR="00E756EC" w:rsidRDefault="00E756EC" w:rsidP="00E756EC">
      <w:pPr>
        <w:spacing w:before="120" w:after="120"/>
        <w:rPr>
          <w:rFonts w:ascii="Arial" w:hAnsi="Arial" w:cs="Arial"/>
          <w:b/>
          <w:bCs/>
          <w:sz w:val="16"/>
        </w:rPr>
      </w:pPr>
      <w:r w:rsidRPr="003C234D">
        <w:rPr>
          <w:rFonts w:ascii="Arial" w:hAnsi="Arial" w:cs="Arial"/>
          <w:b/>
          <w:bCs/>
          <w:sz w:val="16"/>
        </w:rPr>
        <w:t xml:space="preserve">I have read and understand this </w:t>
      </w:r>
      <w:r w:rsidRPr="003C234D">
        <w:rPr>
          <w:rFonts w:ascii="Arial" w:hAnsi="Arial" w:cs="Arial"/>
          <w:b/>
          <w:sz w:val="16"/>
        </w:rPr>
        <w:t xml:space="preserve">Compensation </w:t>
      </w:r>
      <w:r w:rsidRPr="003C234D">
        <w:rPr>
          <w:rFonts w:ascii="Arial" w:hAnsi="Arial" w:cs="Arial"/>
          <w:b/>
          <w:bCs/>
          <w:sz w:val="16"/>
        </w:rPr>
        <w:t xml:space="preserve">Plan Acknowledgment Form, the Sales Plan Document, and the Sales Compensation Policy.  I accept and agree to fully abide by </w:t>
      </w:r>
      <w:proofErr w:type="gramStart"/>
      <w:r w:rsidRPr="003C234D">
        <w:rPr>
          <w:rFonts w:ascii="Arial" w:hAnsi="Arial" w:cs="Arial"/>
          <w:b/>
          <w:bCs/>
          <w:sz w:val="16"/>
        </w:rPr>
        <w:t>all of</w:t>
      </w:r>
      <w:proofErr w:type="gramEnd"/>
      <w:r w:rsidRPr="003C234D">
        <w:rPr>
          <w:rFonts w:ascii="Arial" w:hAnsi="Arial" w:cs="Arial"/>
          <w:b/>
          <w:bCs/>
          <w:sz w:val="16"/>
        </w:rPr>
        <w:t xml:space="preserve"> the terms and provisions as outlined in those documents.</w:t>
      </w:r>
    </w:p>
    <w:p w14:paraId="5AEF77CC" w14:textId="77777777" w:rsidR="00E756EC" w:rsidRPr="003C234D" w:rsidRDefault="00E756EC" w:rsidP="00E756EC">
      <w:pPr>
        <w:spacing w:before="120" w:after="120"/>
        <w:rPr>
          <w:rFonts w:ascii="Arial" w:hAnsi="Arial" w:cs="Arial"/>
          <w:b/>
          <w:bCs/>
          <w:sz w:val="16"/>
        </w:rPr>
      </w:pPr>
    </w:p>
    <w:p w14:paraId="2FD3A706" w14:textId="77777777" w:rsidR="00E756EC" w:rsidRDefault="00E756EC" w:rsidP="00E756EC">
      <w:pPr>
        <w:ind w:left="180"/>
        <w:rPr>
          <w:rFonts w:ascii="Arial" w:hAnsi="Arial" w:cs="Arial"/>
          <w:b/>
          <w:bCs/>
        </w:rPr>
      </w:pPr>
      <w:r>
        <w:rPr>
          <w:rFonts w:ascii="Arial" w:hAnsi="Arial" w:cs="Arial"/>
          <w:b/>
          <w:bCs/>
        </w:rPr>
        <w:t>_________________________________</w:t>
      </w:r>
      <w:r>
        <w:rPr>
          <w:rFonts w:ascii="Arial" w:hAnsi="Arial" w:cs="Arial"/>
          <w:b/>
          <w:bCs/>
        </w:rPr>
        <w:tab/>
      </w:r>
      <w:r>
        <w:rPr>
          <w:rFonts w:ascii="Arial" w:hAnsi="Arial" w:cs="Arial"/>
          <w:b/>
          <w:bCs/>
        </w:rPr>
        <w:tab/>
      </w:r>
      <w:r>
        <w:rPr>
          <w:rFonts w:ascii="Arial" w:hAnsi="Arial" w:cs="Arial"/>
          <w:b/>
          <w:bCs/>
        </w:rPr>
        <w:tab/>
        <w:t>______________________________</w:t>
      </w:r>
    </w:p>
    <w:p w14:paraId="65BB69D1" w14:textId="77777777" w:rsidR="00E756EC" w:rsidRDefault="00E756EC" w:rsidP="00E756EC">
      <w:pPr>
        <w:ind w:left="180"/>
        <w:rPr>
          <w:rFonts w:ascii="Arial" w:hAnsi="Arial" w:cs="Arial"/>
          <w:bCs/>
        </w:rPr>
      </w:pPr>
      <w:r w:rsidRPr="003C234D">
        <w:rPr>
          <w:rFonts w:ascii="Arial" w:hAnsi="Arial" w:cs="Arial"/>
          <w:bCs/>
        </w:rPr>
        <w:t>Participant’s Signature</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3C234D">
        <w:rPr>
          <w:rFonts w:ascii="Arial" w:hAnsi="Arial" w:cs="Arial"/>
          <w:bCs/>
        </w:rPr>
        <w:t>Date</w:t>
      </w:r>
    </w:p>
    <w:p w14:paraId="61D7728E" w14:textId="77777777" w:rsidR="00E756EC" w:rsidRDefault="00E756EC" w:rsidP="00E756EC">
      <w:pPr>
        <w:ind w:left="180"/>
        <w:rPr>
          <w:rFonts w:ascii="Arial" w:hAnsi="Arial" w:cs="Arial"/>
          <w:bCs/>
        </w:rPr>
      </w:pPr>
    </w:p>
    <w:p w14:paraId="2152A68D" w14:textId="77777777" w:rsidR="00E756EC" w:rsidRDefault="00E756EC" w:rsidP="00E756EC">
      <w:pPr>
        <w:ind w:left="180"/>
        <w:rPr>
          <w:rFonts w:ascii="Arial" w:hAnsi="Arial" w:cs="Arial"/>
          <w:b/>
          <w:bCs/>
        </w:rPr>
      </w:pPr>
      <w:r>
        <w:rPr>
          <w:rFonts w:ascii="Arial" w:hAnsi="Arial" w:cs="Arial"/>
          <w:b/>
          <w:bCs/>
        </w:rPr>
        <w:t>_________________________________</w:t>
      </w:r>
      <w:r>
        <w:rPr>
          <w:rFonts w:ascii="Arial" w:hAnsi="Arial" w:cs="Arial"/>
          <w:b/>
          <w:bCs/>
        </w:rPr>
        <w:tab/>
      </w:r>
      <w:r>
        <w:rPr>
          <w:rFonts w:ascii="Arial" w:hAnsi="Arial" w:cs="Arial"/>
          <w:b/>
          <w:bCs/>
        </w:rPr>
        <w:tab/>
      </w:r>
      <w:r>
        <w:rPr>
          <w:rFonts w:ascii="Arial" w:hAnsi="Arial" w:cs="Arial"/>
          <w:b/>
          <w:bCs/>
        </w:rPr>
        <w:tab/>
        <w:t>______________________________</w:t>
      </w:r>
    </w:p>
    <w:p w14:paraId="50F322B6" w14:textId="715CCA8E" w:rsidR="00AF32B5" w:rsidRPr="003062AF" w:rsidRDefault="00E756EC" w:rsidP="003062AF">
      <w:pPr>
        <w:ind w:left="180"/>
        <w:rPr>
          <w:rFonts w:ascii="Arial" w:hAnsi="Arial" w:cs="Arial"/>
          <w:bCs/>
        </w:rPr>
      </w:pPr>
      <w:r>
        <w:rPr>
          <w:rFonts w:ascii="Arial" w:hAnsi="Arial" w:cs="Arial"/>
          <w:bCs/>
        </w:rPr>
        <w:t>Manager’s</w:t>
      </w:r>
      <w:r w:rsidRPr="003C234D">
        <w:rPr>
          <w:rFonts w:ascii="Arial" w:hAnsi="Arial" w:cs="Arial"/>
          <w:bCs/>
        </w:rPr>
        <w:t xml:space="preserve"> Signature</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3C234D">
        <w:rPr>
          <w:rFonts w:ascii="Arial" w:hAnsi="Arial" w:cs="Arial"/>
          <w:bCs/>
        </w:rPr>
        <w:t>Date</w:t>
      </w:r>
    </w:p>
    <w:sectPr w:rsidR="00AF32B5" w:rsidRPr="003062AF" w:rsidSect="00324164">
      <w:headerReference w:type="default" r:id="rId8"/>
      <w:footerReference w:type="default" r:id="rId9"/>
      <w:pgSz w:w="12240" w:h="15840" w:code="1"/>
      <w:pgMar w:top="1440" w:right="1152" w:bottom="1440" w:left="1152"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F6027" w14:textId="77777777" w:rsidR="007A5368" w:rsidRDefault="007A5368" w:rsidP="00E756EC">
      <w:r>
        <w:separator/>
      </w:r>
    </w:p>
  </w:endnote>
  <w:endnote w:type="continuationSeparator" w:id="0">
    <w:p w14:paraId="28CABF9F" w14:textId="77777777" w:rsidR="007A5368" w:rsidRDefault="007A5368" w:rsidP="00E7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460" w:type="dxa"/>
      <w:tblCellMar>
        <w:left w:w="0" w:type="dxa"/>
        <w:right w:w="0" w:type="dxa"/>
      </w:tblCellMar>
      <w:tblLook w:val="04A0" w:firstRow="1" w:lastRow="0" w:firstColumn="1" w:lastColumn="0" w:noHBand="0" w:noVBand="1"/>
    </w:tblPr>
    <w:tblGrid>
      <w:gridCol w:w="8460"/>
    </w:tblGrid>
    <w:tr w:rsidR="00832847" w14:paraId="78AFD20A" w14:textId="77777777">
      <w:trPr>
        <w:trHeight w:val="300"/>
      </w:trPr>
      <w:tc>
        <w:tcPr>
          <w:tcW w:w="8460" w:type="dxa"/>
          <w:tcBorders>
            <w:top w:val="nil"/>
            <w:left w:val="nil"/>
            <w:bottom w:val="nil"/>
            <w:right w:val="nil"/>
          </w:tcBorders>
          <w:shd w:val="clear" w:color="auto" w:fill="auto"/>
          <w:noWrap/>
          <w:vAlign w:val="bottom"/>
          <w:hideMark/>
        </w:tcPr>
        <w:p w14:paraId="1400AB14" w14:textId="77777777" w:rsidR="00DE48E1" w:rsidRDefault="00DE48E1">
          <w:pPr>
            <w:rPr>
              <w:rFonts w:ascii="Calibri" w:hAnsi="Calibri"/>
              <w:sz w:val="22"/>
              <w:szCs w:val="22"/>
            </w:rPr>
          </w:pPr>
        </w:p>
      </w:tc>
    </w:tr>
  </w:tbl>
  <w:p w14:paraId="0C19B72E" w14:textId="77777777" w:rsidR="00DE48E1" w:rsidRPr="005D067E" w:rsidRDefault="00000000">
    <w:pPr>
      <w:pStyle w:val="Footer"/>
      <w:jc w:val="center"/>
      <w:rPr>
        <w:rFonts w:ascii="Arial" w:hAnsi="Arial" w:cs="Arial"/>
        <w:sz w:val="16"/>
      </w:rPr>
    </w:pPr>
    <w:r w:rsidRPr="005D067E">
      <w:rPr>
        <w:rFonts w:ascii="Arial" w:hAnsi="Arial" w:cs="Arial"/>
        <w:sz w:val="16"/>
      </w:rPr>
      <w:t xml:space="preserve"> -</w:t>
    </w:r>
    <w:r w:rsidRPr="005D067E">
      <w:rPr>
        <w:rFonts w:ascii="Arial" w:hAnsi="Arial" w:cs="Arial"/>
        <w:sz w:val="16"/>
      </w:rPr>
      <w:fldChar w:fldCharType="begin"/>
    </w:r>
    <w:r w:rsidRPr="005D067E">
      <w:rPr>
        <w:rFonts w:ascii="Arial" w:hAnsi="Arial" w:cs="Arial"/>
        <w:sz w:val="16"/>
      </w:rPr>
      <w:instrText xml:space="preserve"> PAGE   \* MERGEFORMAT </w:instrText>
    </w:r>
    <w:r w:rsidRPr="005D067E">
      <w:rPr>
        <w:rFonts w:ascii="Arial" w:hAnsi="Arial" w:cs="Arial"/>
        <w:sz w:val="16"/>
      </w:rPr>
      <w:fldChar w:fldCharType="separate"/>
    </w:r>
    <w:r>
      <w:rPr>
        <w:rFonts w:ascii="Arial" w:hAnsi="Arial" w:cs="Arial"/>
        <w:noProof/>
        <w:sz w:val="16"/>
      </w:rPr>
      <w:t>10</w:t>
    </w:r>
    <w:r w:rsidRPr="005D067E">
      <w:rPr>
        <w:rFonts w:ascii="Arial" w:hAnsi="Arial" w:cs="Arial"/>
        <w:noProof/>
        <w:sz w:val="16"/>
      </w:rPr>
      <w:fldChar w:fldCharType="end"/>
    </w:r>
    <w:r w:rsidRPr="005D067E">
      <w:rPr>
        <w:rFonts w:ascii="Arial" w:hAnsi="Arial" w:cs="Arial"/>
        <w:sz w:val="16"/>
      </w:rPr>
      <w:t>-</w:t>
    </w:r>
  </w:p>
  <w:p w14:paraId="5195289E" w14:textId="77777777" w:rsidR="00DE48E1" w:rsidRDefault="00DE48E1">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B88E4" w14:textId="77777777" w:rsidR="007A5368" w:rsidRDefault="007A5368" w:rsidP="00E756EC">
      <w:r>
        <w:separator/>
      </w:r>
    </w:p>
  </w:footnote>
  <w:footnote w:type="continuationSeparator" w:id="0">
    <w:p w14:paraId="4F6302EE" w14:textId="77777777" w:rsidR="007A5368" w:rsidRDefault="007A5368" w:rsidP="00E75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7C7D9" w14:textId="65CFB1C3" w:rsidR="00DE48E1" w:rsidRPr="00AF2C46" w:rsidRDefault="00324164" w:rsidP="00324164">
    <w:pPr>
      <w:tabs>
        <w:tab w:val="center" w:pos="4320"/>
        <w:tab w:val="right" w:pos="10530"/>
      </w:tabs>
      <w:jc w:val="right"/>
      <w:rPr>
        <w:rFonts w:ascii="Arial" w:hAnsi="Arial" w:cs="Arial"/>
        <w:b/>
        <w:bCs/>
        <w:iCs/>
        <w:sz w:val="18"/>
        <w:szCs w:val="18"/>
      </w:rPr>
    </w:pPr>
    <w:r>
      <w:rPr>
        <w:rFonts w:ascii="Arial" w:hAnsi="Arial" w:cs="Arial"/>
        <w:b/>
        <w:bCs/>
        <w:iCs/>
        <w:noProof/>
        <w:sz w:val="18"/>
        <w:szCs w:val="18"/>
        <w14:ligatures w14:val="standardContextual"/>
      </w:rPr>
      <w:drawing>
        <wp:inline distT="0" distB="0" distL="0" distR="0" wp14:anchorId="6BE37B66" wp14:editId="214DA7FA">
          <wp:extent cx="1128371" cy="246888"/>
          <wp:effectExtent l="0" t="0" r="2540" b="0"/>
          <wp:docPr id="256651146" name="Picture 7" descr="A green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651146" name="Picture 7" descr="A green letter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8371" cy="2468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67B0"/>
    <w:multiLevelType w:val="hybridMultilevel"/>
    <w:tmpl w:val="52C25C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36B53"/>
    <w:multiLevelType w:val="hybridMultilevel"/>
    <w:tmpl w:val="7136C86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7031A3"/>
    <w:multiLevelType w:val="hybridMultilevel"/>
    <w:tmpl w:val="220A2686"/>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07515CA5"/>
    <w:multiLevelType w:val="hybridMultilevel"/>
    <w:tmpl w:val="C3180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B7424"/>
    <w:multiLevelType w:val="hybridMultilevel"/>
    <w:tmpl w:val="9878AE6C"/>
    <w:lvl w:ilvl="0" w:tplc="FFFFFFFF">
      <w:start w:val="1"/>
      <w:numFmt w:val="bullet"/>
      <w:lvlText w:val=""/>
      <w:lvlJc w:val="left"/>
      <w:pPr>
        <w:tabs>
          <w:tab w:val="num" w:pos="360"/>
        </w:tabs>
        <w:ind w:left="57" w:hanging="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A2A46"/>
    <w:multiLevelType w:val="hybridMultilevel"/>
    <w:tmpl w:val="035081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E3261"/>
    <w:multiLevelType w:val="hybridMultilevel"/>
    <w:tmpl w:val="DF207A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E0120C"/>
    <w:multiLevelType w:val="hybridMultilevel"/>
    <w:tmpl w:val="31FE352E"/>
    <w:lvl w:ilvl="0" w:tplc="B40262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C779CA"/>
    <w:multiLevelType w:val="hybridMultilevel"/>
    <w:tmpl w:val="DB7CD238"/>
    <w:lvl w:ilvl="0" w:tplc="FFFFFFFF">
      <w:start w:val="1"/>
      <w:numFmt w:val="bullet"/>
      <w:lvlText w:val="•"/>
      <w:lvlJc w:val="left"/>
      <w:pPr>
        <w:tabs>
          <w:tab w:val="num" w:pos="720"/>
        </w:tabs>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4718CB"/>
    <w:multiLevelType w:val="hybridMultilevel"/>
    <w:tmpl w:val="C360D2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43C2E"/>
    <w:multiLevelType w:val="hybridMultilevel"/>
    <w:tmpl w:val="7E46A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47CE2"/>
    <w:multiLevelType w:val="hybridMultilevel"/>
    <w:tmpl w:val="0082BE0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23E259B0"/>
    <w:multiLevelType w:val="hybridMultilevel"/>
    <w:tmpl w:val="D5F4AF2A"/>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3" w15:restartNumberingAfterBreak="0">
    <w:nsid w:val="266651B1"/>
    <w:multiLevelType w:val="hybridMultilevel"/>
    <w:tmpl w:val="D774FBDA"/>
    <w:lvl w:ilvl="0" w:tplc="188AA4CA">
      <w:start w:val="1"/>
      <w:numFmt w:val="bullet"/>
      <w:lvlText w:val=""/>
      <w:lvlJc w:val="left"/>
      <w:pPr>
        <w:tabs>
          <w:tab w:val="num" w:pos="360"/>
        </w:tabs>
        <w:ind w:left="57" w:hanging="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7E6DE6"/>
    <w:multiLevelType w:val="hybridMultilevel"/>
    <w:tmpl w:val="EFCE552E"/>
    <w:lvl w:ilvl="0" w:tplc="EEC8109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A8367B"/>
    <w:multiLevelType w:val="hybridMultilevel"/>
    <w:tmpl w:val="ABBE3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C154CB"/>
    <w:multiLevelType w:val="hybridMultilevel"/>
    <w:tmpl w:val="64605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FD60DF"/>
    <w:multiLevelType w:val="hybridMultilevel"/>
    <w:tmpl w:val="4FC21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0D0D5F"/>
    <w:multiLevelType w:val="hybridMultilevel"/>
    <w:tmpl w:val="75768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E8B472B"/>
    <w:multiLevelType w:val="hybridMultilevel"/>
    <w:tmpl w:val="00DEB538"/>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FE7EBE"/>
    <w:multiLevelType w:val="hybridMultilevel"/>
    <w:tmpl w:val="D3E21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B263AF"/>
    <w:multiLevelType w:val="hybridMultilevel"/>
    <w:tmpl w:val="19E022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4C402A4"/>
    <w:multiLevelType w:val="hybridMultilevel"/>
    <w:tmpl w:val="F49491B6"/>
    <w:lvl w:ilvl="0" w:tplc="0409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E2A72"/>
    <w:multiLevelType w:val="hybridMultilevel"/>
    <w:tmpl w:val="42DC7D52"/>
    <w:lvl w:ilvl="0" w:tplc="188AA4CA">
      <w:start w:val="1"/>
      <w:numFmt w:val="bullet"/>
      <w:lvlText w:val=""/>
      <w:lvlJc w:val="left"/>
      <w:pPr>
        <w:tabs>
          <w:tab w:val="num" w:pos="360"/>
        </w:tabs>
        <w:ind w:left="57"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5B7780"/>
    <w:multiLevelType w:val="hybridMultilevel"/>
    <w:tmpl w:val="A52040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084609"/>
    <w:multiLevelType w:val="hybridMultilevel"/>
    <w:tmpl w:val="1C289546"/>
    <w:lvl w:ilvl="0" w:tplc="20DE3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2E62F0"/>
    <w:multiLevelType w:val="hybridMultilevel"/>
    <w:tmpl w:val="C67C2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711073"/>
    <w:multiLevelType w:val="hybridMultilevel"/>
    <w:tmpl w:val="8AE03DCE"/>
    <w:lvl w:ilvl="0" w:tplc="FFFFFFFF">
      <w:start w:val="1"/>
      <w:numFmt w:val="bullet"/>
      <w:lvlText w:val="•"/>
      <w:lvlJc w:val="left"/>
      <w:pPr>
        <w:tabs>
          <w:tab w:val="num" w:pos="360"/>
        </w:tabs>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2582FFE"/>
    <w:multiLevelType w:val="hybridMultilevel"/>
    <w:tmpl w:val="ED3473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72A2E5C"/>
    <w:multiLevelType w:val="hybridMultilevel"/>
    <w:tmpl w:val="8E62B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FC2E52"/>
    <w:multiLevelType w:val="hybridMultilevel"/>
    <w:tmpl w:val="6666B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5719F4"/>
    <w:multiLevelType w:val="hybridMultilevel"/>
    <w:tmpl w:val="436AA360"/>
    <w:lvl w:ilvl="0" w:tplc="94A0227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68B40422"/>
    <w:multiLevelType w:val="hybridMultilevel"/>
    <w:tmpl w:val="84C04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A759CA"/>
    <w:multiLevelType w:val="hybridMultilevel"/>
    <w:tmpl w:val="DB56105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6D5E09EC"/>
    <w:multiLevelType w:val="hybridMultilevel"/>
    <w:tmpl w:val="4DFE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2B458F"/>
    <w:multiLevelType w:val="hybridMultilevel"/>
    <w:tmpl w:val="A69C403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6" w15:restartNumberingAfterBreak="0">
    <w:nsid w:val="710D4B59"/>
    <w:multiLevelType w:val="hybridMultilevel"/>
    <w:tmpl w:val="ABEE4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767CD6"/>
    <w:multiLevelType w:val="hybridMultilevel"/>
    <w:tmpl w:val="650AA1E6"/>
    <w:lvl w:ilvl="0" w:tplc="9A5A0F40">
      <w:start w:val="1"/>
      <w:numFmt w:val="decimal"/>
      <w:lvlText w:val="%1."/>
      <w:lvlJc w:val="left"/>
      <w:pPr>
        <w:ind w:left="2250" w:hanging="360"/>
      </w:pPr>
      <w:rPr>
        <w:color w:val="235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A36F63"/>
    <w:multiLevelType w:val="hybridMultilevel"/>
    <w:tmpl w:val="CDEEA55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4F65C8D"/>
    <w:multiLevelType w:val="hybridMultilevel"/>
    <w:tmpl w:val="E6CE23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564602"/>
    <w:multiLevelType w:val="hybridMultilevel"/>
    <w:tmpl w:val="053AEB46"/>
    <w:lvl w:ilvl="0" w:tplc="0409000F">
      <w:start w:val="1"/>
      <w:numFmt w:val="decimal"/>
      <w:lvlText w:val="%1."/>
      <w:lvlJc w:val="left"/>
      <w:pPr>
        <w:ind w:left="360" w:hanging="360"/>
      </w:pPr>
    </w:lvl>
    <w:lvl w:ilvl="1" w:tplc="7812C154">
      <w:start w:val="1"/>
      <w:numFmt w:val="lowerLetter"/>
      <w:pStyle w:val="Heading2"/>
      <w:lvlText w:val="%2."/>
      <w:lvlJc w:val="left"/>
      <w:pPr>
        <w:ind w:left="630" w:hanging="360"/>
      </w:pPr>
      <w:rPr>
        <w:color w:val="235043"/>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BF7E42"/>
    <w:multiLevelType w:val="hybridMultilevel"/>
    <w:tmpl w:val="F222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E95E5B"/>
    <w:multiLevelType w:val="hybridMultilevel"/>
    <w:tmpl w:val="3D1A97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D644056"/>
    <w:multiLevelType w:val="hybridMultilevel"/>
    <w:tmpl w:val="CF162150"/>
    <w:lvl w:ilvl="0" w:tplc="6FF208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E6B32EA"/>
    <w:multiLevelType w:val="hybridMultilevel"/>
    <w:tmpl w:val="15B2B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2199219">
    <w:abstractNumId w:val="38"/>
  </w:num>
  <w:num w:numId="2" w16cid:durableId="1478303306">
    <w:abstractNumId w:val="43"/>
  </w:num>
  <w:num w:numId="3" w16cid:durableId="491526953">
    <w:abstractNumId w:val="28"/>
  </w:num>
  <w:num w:numId="4" w16cid:durableId="1766271174">
    <w:abstractNumId w:val="31"/>
  </w:num>
  <w:num w:numId="5" w16cid:durableId="1334257973">
    <w:abstractNumId w:val="39"/>
  </w:num>
  <w:num w:numId="6" w16cid:durableId="1484545325">
    <w:abstractNumId w:val="3"/>
  </w:num>
  <w:num w:numId="7" w16cid:durableId="1486317021">
    <w:abstractNumId w:val="5"/>
  </w:num>
  <w:num w:numId="8" w16cid:durableId="416168371">
    <w:abstractNumId w:val="32"/>
  </w:num>
  <w:num w:numId="9" w16cid:durableId="1590121624">
    <w:abstractNumId w:val="29"/>
  </w:num>
  <w:num w:numId="10" w16cid:durableId="258368080">
    <w:abstractNumId w:val="34"/>
  </w:num>
  <w:num w:numId="11" w16cid:durableId="1960800711">
    <w:abstractNumId w:val="24"/>
  </w:num>
  <w:num w:numId="12" w16cid:durableId="1227768008">
    <w:abstractNumId w:val="9"/>
  </w:num>
  <w:num w:numId="13" w16cid:durableId="1132363183">
    <w:abstractNumId w:val="15"/>
  </w:num>
  <w:num w:numId="14" w16cid:durableId="1408574598">
    <w:abstractNumId w:val="42"/>
  </w:num>
  <w:num w:numId="15" w16cid:durableId="1262375495">
    <w:abstractNumId w:val="26"/>
  </w:num>
  <w:num w:numId="16" w16cid:durableId="1745030119">
    <w:abstractNumId w:val="41"/>
  </w:num>
  <w:num w:numId="17" w16cid:durableId="918245903">
    <w:abstractNumId w:val="14"/>
  </w:num>
  <w:num w:numId="18" w16cid:durableId="610092747">
    <w:abstractNumId w:val="22"/>
  </w:num>
  <w:num w:numId="19" w16cid:durableId="131990456">
    <w:abstractNumId w:val="23"/>
  </w:num>
  <w:num w:numId="20" w16cid:durableId="1216308422">
    <w:abstractNumId w:val="13"/>
  </w:num>
  <w:num w:numId="21" w16cid:durableId="504247838">
    <w:abstractNumId w:val="4"/>
  </w:num>
  <w:num w:numId="22" w16cid:durableId="652295206">
    <w:abstractNumId w:val="2"/>
  </w:num>
  <w:num w:numId="23" w16cid:durableId="861165986">
    <w:abstractNumId w:val="19"/>
  </w:num>
  <w:num w:numId="24" w16cid:durableId="520707959">
    <w:abstractNumId w:val="40"/>
  </w:num>
  <w:num w:numId="25" w16cid:durableId="1629125814">
    <w:abstractNumId w:val="6"/>
  </w:num>
  <w:num w:numId="26" w16cid:durableId="2123642799">
    <w:abstractNumId w:val="35"/>
  </w:num>
  <w:num w:numId="27" w16cid:durableId="694699589">
    <w:abstractNumId w:val="33"/>
  </w:num>
  <w:num w:numId="28" w16cid:durableId="1713652585">
    <w:abstractNumId w:val="36"/>
  </w:num>
  <w:num w:numId="29" w16cid:durableId="1697152722">
    <w:abstractNumId w:val="11"/>
  </w:num>
  <w:num w:numId="30" w16cid:durableId="915239021">
    <w:abstractNumId w:val="18"/>
  </w:num>
  <w:num w:numId="31" w16cid:durableId="1716276940">
    <w:abstractNumId w:val="21"/>
  </w:num>
  <w:num w:numId="32" w16cid:durableId="1006323065">
    <w:abstractNumId w:val="25"/>
  </w:num>
  <w:num w:numId="33" w16cid:durableId="28458797">
    <w:abstractNumId w:val="12"/>
  </w:num>
  <w:num w:numId="34" w16cid:durableId="1500341807">
    <w:abstractNumId w:val="8"/>
  </w:num>
  <w:num w:numId="35" w16cid:durableId="519006883">
    <w:abstractNumId w:val="7"/>
  </w:num>
  <w:num w:numId="36" w16cid:durableId="902443565">
    <w:abstractNumId w:val="27"/>
  </w:num>
  <w:num w:numId="37" w16cid:durableId="1113940753">
    <w:abstractNumId w:val="20"/>
  </w:num>
  <w:num w:numId="38" w16cid:durableId="1466508682">
    <w:abstractNumId w:val="0"/>
  </w:num>
  <w:num w:numId="39" w16cid:durableId="254631983">
    <w:abstractNumId w:val="1"/>
  </w:num>
  <w:num w:numId="40" w16cid:durableId="1176337621">
    <w:abstractNumId w:val="10"/>
  </w:num>
  <w:num w:numId="41" w16cid:durableId="810829310">
    <w:abstractNumId w:val="17"/>
  </w:num>
  <w:num w:numId="42" w16cid:durableId="1797944622">
    <w:abstractNumId w:val="30"/>
  </w:num>
  <w:num w:numId="43" w16cid:durableId="1115782695">
    <w:abstractNumId w:val="16"/>
  </w:num>
  <w:num w:numId="44" w16cid:durableId="1028683945">
    <w:abstractNumId w:val="44"/>
  </w:num>
  <w:num w:numId="45" w16cid:durableId="17334859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EC"/>
    <w:rsid w:val="00026A6F"/>
    <w:rsid w:val="00050F54"/>
    <w:rsid w:val="0009497F"/>
    <w:rsid w:val="000C7D4E"/>
    <w:rsid w:val="000E1A51"/>
    <w:rsid w:val="0010080B"/>
    <w:rsid w:val="001022A5"/>
    <w:rsid w:val="00103622"/>
    <w:rsid w:val="001259D0"/>
    <w:rsid w:val="00151273"/>
    <w:rsid w:val="00153AC1"/>
    <w:rsid w:val="00172D67"/>
    <w:rsid w:val="00177965"/>
    <w:rsid w:val="00190857"/>
    <w:rsid w:val="00242DE9"/>
    <w:rsid w:val="00245D06"/>
    <w:rsid w:val="0026314A"/>
    <w:rsid w:val="00277162"/>
    <w:rsid w:val="00277C05"/>
    <w:rsid w:val="002966AB"/>
    <w:rsid w:val="002B65BA"/>
    <w:rsid w:val="002C6019"/>
    <w:rsid w:val="002D4234"/>
    <w:rsid w:val="003062AF"/>
    <w:rsid w:val="00324164"/>
    <w:rsid w:val="00352770"/>
    <w:rsid w:val="00382C26"/>
    <w:rsid w:val="003B182A"/>
    <w:rsid w:val="003E1AB8"/>
    <w:rsid w:val="00442A54"/>
    <w:rsid w:val="00470D1F"/>
    <w:rsid w:val="00474F2A"/>
    <w:rsid w:val="00494724"/>
    <w:rsid w:val="004C1432"/>
    <w:rsid w:val="0050103D"/>
    <w:rsid w:val="00525CB9"/>
    <w:rsid w:val="0052641A"/>
    <w:rsid w:val="005A483B"/>
    <w:rsid w:val="005E016A"/>
    <w:rsid w:val="005E06FF"/>
    <w:rsid w:val="006239D1"/>
    <w:rsid w:val="0064158F"/>
    <w:rsid w:val="00680CC4"/>
    <w:rsid w:val="00695208"/>
    <w:rsid w:val="00697307"/>
    <w:rsid w:val="006D0603"/>
    <w:rsid w:val="006D4FB2"/>
    <w:rsid w:val="00730E6D"/>
    <w:rsid w:val="00735800"/>
    <w:rsid w:val="0074608D"/>
    <w:rsid w:val="007A5368"/>
    <w:rsid w:val="007D1F8A"/>
    <w:rsid w:val="008019B5"/>
    <w:rsid w:val="008210E8"/>
    <w:rsid w:val="00822A9C"/>
    <w:rsid w:val="00831D62"/>
    <w:rsid w:val="008A172B"/>
    <w:rsid w:val="008B4538"/>
    <w:rsid w:val="008F4AE0"/>
    <w:rsid w:val="00937A7E"/>
    <w:rsid w:val="009628DC"/>
    <w:rsid w:val="00971ED5"/>
    <w:rsid w:val="009848AF"/>
    <w:rsid w:val="00992D32"/>
    <w:rsid w:val="009B542D"/>
    <w:rsid w:val="009D500C"/>
    <w:rsid w:val="00A16AFF"/>
    <w:rsid w:val="00A24229"/>
    <w:rsid w:val="00A34124"/>
    <w:rsid w:val="00A82135"/>
    <w:rsid w:val="00A87B59"/>
    <w:rsid w:val="00AC014E"/>
    <w:rsid w:val="00AC371F"/>
    <w:rsid w:val="00AF32B5"/>
    <w:rsid w:val="00B172E9"/>
    <w:rsid w:val="00B22082"/>
    <w:rsid w:val="00B50B9C"/>
    <w:rsid w:val="00B616C6"/>
    <w:rsid w:val="00B65B27"/>
    <w:rsid w:val="00B93AB0"/>
    <w:rsid w:val="00BB4534"/>
    <w:rsid w:val="00BF268E"/>
    <w:rsid w:val="00C32B91"/>
    <w:rsid w:val="00C63F6F"/>
    <w:rsid w:val="00C90278"/>
    <w:rsid w:val="00CD3319"/>
    <w:rsid w:val="00D30013"/>
    <w:rsid w:val="00D407AB"/>
    <w:rsid w:val="00DB40F0"/>
    <w:rsid w:val="00DC1C4F"/>
    <w:rsid w:val="00DD2ED9"/>
    <w:rsid w:val="00DD7216"/>
    <w:rsid w:val="00DE2299"/>
    <w:rsid w:val="00DE48E1"/>
    <w:rsid w:val="00E756EC"/>
    <w:rsid w:val="00E8147E"/>
    <w:rsid w:val="00E86684"/>
    <w:rsid w:val="00E87B63"/>
    <w:rsid w:val="00E97148"/>
    <w:rsid w:val="00ED2654"/>
    <w:rsid w:val="00EE557E"/>
    <w:rsid w:val="00F26369"/>
    <w:rsid w:val="00F42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E385"/>
  <w15:chartTrackingRefBased/>
  <w15:docId w15:val="{E38AD0E1-1807-D94F-84C1-B7576087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6EC"/>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autoRedefine/>
    <w:qFormat/>
    <w:rsid w:val="00D30013"/>
    <w:pPr>
      <w:keepNext/>
      <w:keepLines/>
      <w:spacing w:before="240" w:line="259" w:lineRule="auto"/>
      <w:outlineLvl w:val="0"/>
    </w:pPr>
    <w:rPr>
      <w:rFonts w:asciiTheme="majorHAnsi" w:eastAsiaTheme="majorEastAsia" w:hAnsiTheme="majorHAnsi" w:cstheme="majorBidi"/>
      <w:b/>
      <w:color w:val="008037"/>
      <w:sz w:val="32"/>
      <w:szCs w:val="32"/>
    </w:rPr>
  </w:style>
  <w:style w:type="paragraph" w:styleId="Heading2">
    <w:name w:val="heading 2"/>
    <w:basedOn w:val="Normal"/>
    <w:next w:val="Normal"/>
    <w:link w:val="Heading2Char"/>
    <w:autoRedefine/>
    <w:unhideWhenUsed/>
    <w:qFormat/>
    <w:rsid w:val="00324164"/>
    <w:pPr>
      <w:keepNext/>
      <w:numPr>
        <w:ilvl w:val="1"/>
        <w:numId w:val="24"/>
      </w:numPr>
      <w:spacing w:line="259" w:lineRule="auto"/>
      <w:ind w:left="720"/>
      <w:outlineLvl w:val="1"/>
    </w:pPr>
    <w:rPr>
      <w:rFonts w:ascii="Arial" w:eastAsiaTheme="majorEastAsia" w:hAnsi="Arial" w:cs="Arial"/>
      <w:color w:val="235043"/>
    </w:rPr>
  </w:style>
  <w:style w:type="paragraph" w:styleId="Heading3">
    <w:name w:val="heading 3"/>
    <w:basedOn w:val="Normal"/>
    <w:next w:val="Normal"/>
    <w:link w:val="Heading3Char"/>
    <w:unhideWhenUsed/>
    <w:qFormat/>
    <w:rsid w:val="00E756EC"/>
    <w:pPr>
      <w:keepNext/>
      <w:keepLines/>
      <w:spacing w:before="160" w:after="80"/>
      <w:outlineLvl w:val="2"/>
    </w:pPr>
    <w:rPr>
      <w:rFonts w:ascii="Arial" w:eastAsiaTheme="majorEastAsia" w:hAnsi="Arial" w:cstheme="majorBidi"/>
      <w:b/>
      <w:color w:val="124F1A" w:themeColor="accent3" w:themeShade="BF"/>
      <w:sz w:val="28"/>
      <w:szCs w:val="28"/>
    </w:rPr>
  </w:style>
  <w:style w:type="paragraph" w:styleId="Heading4">
    <w:name w:val="heading 4"/>
    <w:basedOn w:val="Normal"/>
    <w:next w:val="Normal"/>
    <w:link w:val="Heading4Char"/>
    <w:uiPriority w:val="9"/>
    <w:unhideWhenUsed/>
    <w:qFormat/>
    <w:rsid w:val="009628DC"/>
    <w:pPr>
      <w:keepNext/>
      <w:keepLines/>
      <w:spacing w:before="80" w:after="40"/>
      <w:outlineLvl w:val="3"/>
    </w:pPr>
    <w:rPr>
      <w:rFonts w:ascii="Arial" w:eastAsiaTheme="majorEastAsia" w:hAnsi="Arial" w:cstheme="majorBidi"/>
      <w:b/>
      <w:i/>
      <w:iCs/>
      <w:color w:val="124F1A" w:themeColor="accent3" w:themeShade="BF"/>
      <w:sz w:val="24"/>
    </w:rPr>
  </w:style>
  <w:style w:type="paragraph" w:styleId="Heading5">
    <w:name w:val="heading 5"/>
    <w:basedOn w:val="Normal"/>
    <w:next w:val="Normal"/>
    <w:link w:val="Heading5Char"/>
    <w:uiPriority w:val="9"/>
    <w:semiHidden/>
    <w:unhideWhenUsed/>
    <w:qFormat/>
    <w:rsid w:val="00E75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756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6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756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756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013"/>
    <w:rPr>
      <w:rFonts w:asciiTheme="majorHAnsi" w:eastAsiaTheme="majorEastAsia" w:hAnsiTheme="majorHAnsi" w:cstheme="majorBidi"/>
      <w:b/>
      <w:color w:val="008037"/>
      <w:sz w:val="32"/>
      <w:szCs w:val="32"/>
    </w:rPr>
  </w:style>
  <w:style w:type="paragraph" w:styleId="Caption">
    <w:name w:val="caption"/>
    <w:basedOn w:val="Normal"/>
    <w:next w:val="Normal"/>
    <w:autoRedefine/>
    <w:uiPriority w:val="35"/>
    <w:unhideWhenUsed/>
    <w:qFormat/>
    <w:rsid w:val="00D30013"/>
    <w:pPr>
      <w:spacing w:after="200"/>
    </w:pPr>
    <w:rPr>
      <w:rFonts w:ascii="Calibri" w:eastAsia="Calibri" w:hAnsi="Calibri" w:cs="Calibri"/>
      <w:b/>
      <w:i/>
      <w:iCs/>
      <w:color w:val="008037"/>
      <w:sz w:val="18"/>
      <w:szCs w:val="18"/>
    </w:rPr>
  </w:style>
  <w:style w:type="character" w:customStyle="1" w:styleId="Heading2Char">
    <w:name w:val="Heading 2 Char"/>
    <w:basedOn w:val="DefaultParagraphFont"/>
    <w:link w:val="Heading2"/>
    <w:rsid w:val="00324164"/>
    <w:rPr>
      <w:rFonts w:ascii="Arial" w:eastAsiaTheme="majorEastAsia" w:hAnsi="Arial" w:cs="Arial"/>
      <w:color w:val="235043"/>
      <w:kern w:val="0"/>
      <w:sz w:val="20"/>
      <w:szCs w:val="20"/>
      <w14:ligatures w14:val="none"/>
    </w:rPr>
  </w:style>
  <w:style w:type="character" w:customStyle="1" w:styleId="Heading3Char">
    <w:name w:val="Heading 3 Char"/>
    <w:basedOn w:val="DefaultParagraphFont"/>
    <w:link w:val="Heading3"/>
    <w:rsid w:val="00E756EC"/>
    <w:rPr>
      <w:rFonts w:ascii="Arial" w:eastAsiaTheme="majorEastAsia" w:hAnsi="Arial" w:cstheme="majorBidi"/>
      <w:b/>
      <w:color w:val="124F1A" w:themeColor="accent3" w:themeShade="BF"/>
      <w:kern w:val="0"/>
      <w:sz w:val="28"/>
      <w:szCs w:val="28"/>
      <w14:ligatures w14:val="none"/>
    </w:rPr>
  </w:style>
  <w:style w:type="character" w:customStyle="1" w:styleId="Heading4Char">
    <w:name w:val="Heading 4 Char"/>
    <w:basedOn w:val="DefaultParagraphFont"/>
    <w:link w:val="Heading4"/>
    <w:uiPriority w:val="9"/>
    <w:rsid w:val="009628DC"/>
    <w:rPr>
      <w:rFonts w:ascii="Arial" w:eastAsiaTheme="majorEastAsia" w:hAnsi="Arial" w:cstheme="majorBidi"/>
      <w:b/>
      <w:i/>
      <w:iCs/>
      <w:color w:val="124F1A" w:themeColor="accent3" w:themeShade="BF"/>
      <w:kern w:val="0"/>
      <w:szCs w:val="20"/>
      <w14:ligatures w14:val="none"/>
    </w:rPr>
  </w:style>
  <w:style w:type="character" w:customStyle="1" w:styleId="Heading5Char">
    <w:name w:val="Heading 5 Char"/>
    <w:basedOn w:val="DefaultParagraphFont"/>
    <w:link w:val="Heading5"/>
    <w:uiPriority w:val="9"/>
    <w:semiHidden/>
    <w:rsid w:val="00E75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6EC"/>
    <w:rPr>
      <w:rFonts w:eastAsiaTheme="majorEastAsia" w:cstheme="majorBidi"/>
      <w:color w:val="272727" w:themeColor="text1" w:themeTint="D8"/>
    </w:rPr>
  </w:style>
  <w:style w:type="paragraph" w:styleId="Title">
    <w:name w:val="Title"/>
    <w:basedOn w:val="Normal"/>
    <w:next w:val="Normal"/>
    <w:link w:val="TitleChar"/>
    <w:qFormat/>
    <w:rsid w:val="00E756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6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6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56EC"/>
    <w:rPr>
      <w:i/>
      <w:iCs/>
      <w:color w:val="404040" w:themeColor="text1" w:themeTint="BF"/>
    </w:rPr>
  </w:style>
  <w:style w:type="paragraph" w:styleId="ListParagraph">
    <w:name w:val="List Paragraph"/>
    <w:basedOn w:val="Normal"/>
    <w:uiPriority w:val="34"/>
    <w:qFormat/>
    <w:rsid w:val="00E756EC"/>
    <w:pPr>
      <w:ind w:left="720"/>
      <w:contextualSpacing/>
    </w:pPr>
  </w:style>
  <w:style w:type="character" w:styleId="IntenseEmphasis">
    <w:name w:val="Intense Emphasis"/>
    <w:basedOn w:val="DefaultParagraphFont"/>
    <w:uiPriority w:val="21"/>
    <w:qFormat/>
    <w:rsid w:val="00E756EC"/>
    <w:rPr>
      <w:i/>
      <w:iCs/>
      <w:color w:val="0F4761" w:themeColor="accent1" w:themeShade="BF"/>
    </w:rPr>
  </w:style>
  <w:style w:type="paragraph" w:styleId="IntenseQuote">
    <w:name w:val="Intense Quote"/>
    <w:basedOn w:val="Normal"/>
    <w:next w:val="Normal"/>
    <w:link w:val="IntenseQuoteChar"/>
    <w:uiPriority w:val="30"/>
    <w:qFormat/>
    <w:rsid w:val="00E75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6EC"/>
    <w:rPr>
      <w:i/>
      <w:iCs/>
      <w:color w:val="0F4761" w:themeColor="accent1" w:themeShade="BF"/>
    </w:rPr>
  </w:style>
  <w:style w:type="character" w:styleId="IntenseReference">
    <w:name w:val="Intense Reference"/>
    <w:basedOn w:val="DefaultParagraphFont"/>
    <w:uiPriority w:val="32"/>
    <w:qFormat/>
    <w:rsid w:val="00E756EC"/>
    <w:rPr>
      <w:b/>
      <w:bCs/>
      <w:smallCaps/>
      <w:color w:val="0F4761" w:themeColor="accent1" w:themeShade="BF"/>
      <w:spacing w:val="5"/>
    </w:rPr>
  </w:style>
  <w:style w:type="paragraph" w:styleId="Header">
    <w:name w:val="header"/>
    <w:basedOn w:val="Normal"/>
    <w:link w:val="HeaderChar"/>
    <w:rsid w:val="00E756EC"/>
    <w:pPr>
      <w:tabs>
        <w:tab w:val="center" w:pos="4320"/>
        <w:tab w:val="right" w:pos="8640"/>
      </w:tabs>
    </w:pPr>
  </w:style>
  <w:style w:type="character" w:customStyle="1" w:styleId="HeaderChar">
    <w:name w:val="Header Char"/>
    <w:basedOn w:val="DefaultParagraphFont"/>
    <w:link w:val="Header"/>
    <w:rsid w:val="00E756EC"/>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E756EC"/>
    <w:pPr>
      <w:tabs>
        <w:tab w:val="center" w:pos="4320"/>
        <w:tab w:val="right" w:pos="8640"/>
      </w:tabs>
    </w:pPr>
  </w:style>
  <w:style w:type="character" w:customStyle="1" w:styleId="FooterChar">
    <w:name w:val="Footer Char"/>
    <w:basedOn w:val="DefaultParagraphFont"/>
    <w:link w:val="Footer"/>
    <w:uiPriority w:val="99"/>
    <w:rsid w:val="00E756EC"/>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rsid w:val="00E756EC"/>
    <w:pPr>
      <w:ind w:left="720"/>
    </w:pPr>
    <w:rPr>
      <w:sz w:val="22"/>
    </w:rPr>
  </w:style>
  <w:style w:type="character" w:customStyle="1" w:styleId="BodyTextIndent2Char">
    <w:name w:val="Body Text Indent 2 Char"/>
    <w:basedOn w:val="DefaultParagraphFont"/>
    <w:link w:val="BodyTextIndent2"/>
    <w:rsid w:val="00E756EC"/>
    <w:rPr>
      <w:rFonts w:ascii="Times New Roman" w:eastAsia="Times New Roman" w:hAnsi="Times New Roman" w:cs="Times New Roman"/>
      <w:kern w:val="0"/>
      <w:sz w:val="22"/>
      <w:szCs w:val="20"/>
      <w14:ligatures w14:val="none"/>
    </w:rPr>
  </w:style>
  <w:style w:type="table" w:styleId="TableGrid">
    <w:name w:val="Table Grid"/>
    <w:basedOn w:val="TableNormal"/>
    <w:rsid w:val="00E756EC"/>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756EC"/>
  </w:style>
  <w:style w:type="paragraph" w:styleId="BalloonText">
    <w:name w:val="Balloon Text"/>
    <w:basedOn w:val="Normal"/>
    <w:link w:val="BalloonTextChar"/>
    <w:semiHidden/>
    <w:rsid w:val="00E756EC"/>
    <w:rPr>
      <w:rFonts w:ascii="Tahoma" w:hAnsi="Tahoma" w:cs="Tahoma"/>
      <w:sz w:val="16"/>
      <w:szCs w:val="16"/>
    </w:rPr>
  </w:style>
  <w:style w:type="character" w:customStyle="1" w:styleId="BalloonTextChar">
    <w:name w:val="Balloon Text Char"/>
    <w:basedOn w:val="DefaultParagraphFont"/>
    <w:link w:val="BalloonText"/>
    <w:semiHidden/>
    <w:rsid w:val="00E756EC"/>
    <w:rPr>
      <w:rFonts w:ascii="Tahoma" w:eastAsia="Times New Roman" w:hAnsi="Tahoma" w:cs="Tahoma"/>
      <w:kern w:val="0"/>
      <w:sz w:val="16"/>
      <w:szCs w:val="16"/>
      <w14:ligatures w14:val="none"/>
    </w:rPr>
  </w:style>
  <w:style w:type="paragraph" w:styleId="NoSpacing">
    <w:name w:val="No Spacing"/>
    <w:uiPriority w:val="1"/>
    <w:qFormat/>
    <w:rsid w:val="00E756EC"/>
    <w:rPr>
      <w:rFonts w:ascii="Times New Roman" w:eastAsia="Times New Roman" w:hAnsi="Times New Roman" w:cs="Times New Roman"/>
      <w:kern w:val="0"/>
      <w:sz w:val="20"/>
      <w:szCs w:val="20"/>
      <w14:ligatures w14:val="none"/>
    </w:rPr>
  </w:style>
  <w:style w:type="character" w:customStyle="1" w:styleId="zzmpTrailerItem">
    <w:name w:val="zzmpTrailerItem"/>
    <w:basedOn w:val="DefaultParagraphFont"/>
    <w:rsid w:val="00E756EC"/>
    <w:rPr>
      <w:rFonts w:ascii="Times New Roman" w:hAnsi="Times New Roman" w:cs="Times New Roman"/>
      <w:dstrike w:val="0"/>
      <w:noProof/>
      <w:color w:val="auto"/>
      <w:spacing w:val="0"/>
      <w:position w:val="0"/>
      <w:sz w:val="16"/>
      <w:szCs w:val="16"/>
      <w:u w:val="none"/>
      <w:effect w:val="none"/>
      <w:vertAlign w:val="baseline"/>
    </w:rPr>
  </w:style>
  <w:style w:type="paragraph" w:styleId="BodyText2">
    <w:name w:val="Body Text 2"/>
    <w:basedOn w:val="Normal"/>
    <w:link w:val="BodyText2Char"/>
    <w:rsid w:val="00E756EC"/>
    <w:pPr>
      <w:spacing w:after="120" w:line="480" w:lineRule="auto"/>
    </w:pPr>
  </w:style>
  <w:style w:type="character" w:customStyle="1" w:styleId="BodyText2Char">
    <w:name w:val="Body Text 2 Char"/>
    <w:basedOn w:val="DefaultParagraphFont"/>
    <w:link w:val="BodyText2"/>
    <w:rsid w:val="00E756EC"/>
    <w:rPr>
      <w:rFonts w:ascii="Times New Roman" w:eastAsia="Times New Roman" w:hAnsi="Times New Roman" w:cs="Times New Roman"/>
      <w:kern w:val="0"/>
      <w:sz w:val="20"/>
      <w:szCs w:val="20"/>
      <w14:ligatures w14:val="none"/>
    </w:rPr>
  </w:style>
  <w:style w:type="paragraph" w:styleId="BodyText3">
    <w:name w:val="Body Text 3"/>
    <w:basedOn w:val="Normal"/>
    <w:link w:val="BodyText3Char"/>
    <w:rsid w:val="00E756EC"/>
    <w:pPr>
      <w:spacing w:after="120"/>
    </w:pPr>
    <w:rPr>
      <w:sz w:val="16"/>
      <w:szCs w:val="16"/>
    </w:rPr>
  </w:style>
  <w:style w:type="character" w:customStyle="1" w:styleId="BodyText3Char">
    <w:name w:val="Body Text 3 Char"/>
    <w:basedOn w:val="DefaultParagraphFont"/>
    <w:link w:val="BodyText3"/>
    <w:rsid w:val="00E756EC"/>
    <w:rPr>
      <w:rFonts w:ascii="Times New Roman" w:eastAsia="Times New Roman" w:hAnsi="Times New Roman" w:cs="Times New Roman"/>
      <w:kern w:val="0"/>
      <w:sz w:val="16"/>
      <w:szCs w:val="16"/>
      <w14:ligatures w14:val="none"/>
    </w:rPr>
  </w:style>
  <w:style w:type="character" w:styleId="Hyperlink">
    <w:name w:val="Hyperlink"/>
    <w:uiPriority w:val="99"/>
    <w:rsid w:val="00E756EC"/>
    <w:rPr>
      <w:color w:val="0000FF"/>
      <w:u w:val="single"/>
    </w:rPr>
  </w:style>
  <w:style w:type="paragraph" w:styleId="TOC1">
    <w:name w:val="toc 1"/>
    <w:basedOn w:val="Normal"/>
    <w:next w:val="Normal"/>
    <w:autoRedefine/>
    <w:uiPriority w:val="39"/>
    <w:rsid w:val="00E756EC"/>
    <w:pPr>
      <w:tabs>
        <w:tab w:val="left" w:pos="400"/>
        <w:tab w:val="right" w:leader="dot" w:pos="10530"/>
      </w:tabs>
      <w:ind w:right="-79"/>
    </w:pPr>
    <w:rPr>
      <w:sz w:val="24"/>
    </w:rPr>
  </w:style>
  <w:style w:type="paragraph" w:styleId="TOC2">
    <w:name w:val="toc 2"/>
    <w:basedOn w:val="Normal"/>
    <w:next w:val="Normal"/>
    <w:autoRedefine/>
    <w:uiPriority w:val="39"/>
    <w:rsid w:val="00E756EC"/>
    <w:pPr>
      <w:tabs>
        <w:tab w:val="left" w:pos="720"/>
        <w:tab w:val="right" w:leader="dot" w:pos="10530"/>
      </w:tabs>
      <w:ind w:left="450"/>
    </w:pPr>
  </w:style>
  <w:style w:type="paragraph" w:styleId="TOC3">
    <w:name w:val="toc 3"/>
    <w:basedOn w:val="Normal"/>
    <w:next w:val="Normal"/>
    <w:autoRedefine/>
    <w:uiPriority w:val="39"/>
    <w:rsid w:val="00E756EC"/>
    <w:pPr>
      <w:tabs>
        <w:tab w:val="left" w:pos="1080"/>
        <w:tab w:val="right" w:leader="dot" w:pos="10530"/>
      </w:tabs>
      <w:ind w:left="810"/>
    </w:pPr>
  </w:style>
  <w:style w:type="paragraph" w:customStyle="1" w:styleId="TableText">
    <w:name w:val="Table Text"/>
    <w:rsid w:val="00E756EC"/>
    <w:pPr>
      <w:ind w:left="144"/>
      <w:jc w:val="both"/>
    </w:pPr>
    <w:rPr>
      <w:rFonts w:ascii="Arial" w:eastAsia="Times New Roman" w:hAnsi="Arial" w:cs="Times New Roman"/>
      <w:snapToGrid w:val="0"/>
      <w:color w:val="000000"/>
      <w:kern w:val="0"/>
      <w:sz w:val="20"/>
      <w:szCs w:val="20"/>
      <w14:ligatures w14:val="none"/>
    </w:rPr>
  </w:style>
  <w:style w:type="paragraph" w:customStyle="1" w:styleId="ident">
    <w:name w:val="ident"/>
    <w:rsid w:val="00E756EC"/>
    <w:pPr>
      <w:spacing w:after="100"/>
      <w:ind w:left="432"/>
      <w:jc w:val="both"/>
    </w:pPr>
    <w:rPr>
      <w:rFonts w:ascii="Arial" w:eastAsia="Times New Roman" w:hAnsi="Arial" w:cs="Times New Roman"/>
      <w:snapToGrid w:val="0"/>
      <w:color w:val="000000"/>
      <w:kern w:val="0"/>
      <w:sz w:val="20"/>
      <w:szCs w:val="20"/>
      <w14:ligatures w14:val="none"/>
    </w:rPr>
  </w:style>
  <w:style w:type="paragraph" w:styleId="BodyText">
    <w:name w:val="Body Text"/>
    <w:basedOn w:val="Normal"/>
    <w:link w:val="BodyTextChar"/>
    <w:rsid w:val="00E756EC"/>
    <w:pPr>
      <w:spacing w:after="120"/>
    </w:pPr>
    <w:rPr>
      <w:rFonts w:ascii="Arial" w:hAnsi="Arial"/>
      <w:sz w:val="22"/>
      <w:szCs w:val="22"/>
    </w:rPr>
  </w:style>
  <w:style w:type="character" w:customStyle="1" w:styleId="BodyTextChar">
    <w:name w:val="Body Text Char"/>
    <w:basedOn w:val="DefaultParagraphFont"/>
    <w:link w:val="BodyText"/>
    <w:rsid w:val="00E756EC"/>
    <w:rPr>
      <w:rFonts w:ascii="Arial" w:eastAsia="Times New Roman" w:hAnsi="Arial" w:cs="Times New Roman"/>
      <w:kern w:val="0"/>
      <w:sz w:val="22"/>
      <w:szCs w:val="22"/>
      <w14:ligatures w14:val="none"/>
    </w:rPr>
  </w:style>
  <w:style w:type="paragraph" w:styleId="Revision">
    <w:name w:val="Revision"/>
    <w:hidden/>
    <w:uiPriority w:val="99"/>
    <w:semiHidden/>
    <w:rsid w:val="00E756EC"/>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rsid w:val="00E756EC"/>
    <w:rPr>
      <w:sz w:val="16"/>
      <w:szCs w:val="16"/>
    </w:rPr>
  </w:style>
  <w:style w:type="paragraph" w:styleId="CommentText">
    <w:name w:val="annotation text"/>
    <w:basedOn w:val="Normal"/>
    <w:link w:val="CommentTextChar"/>
    <w:rsid w:val="00E756EC"/>
  </w:style>
  <w:style w:type="character" w:customStyle="1" w:styleId="CommentTextChar">
    <w:name w:val="Comment Text Char"/>
    <w:basedOn w:val="DefaultParagraphFont"/>
    <w:link w:val="CommentText"/>
    <w:rsid w:val="00E756E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E756EC"/>
    <w:rPr>
      <w:b/>
      <w:bCs/>
    </w:rPr>
  </w:style>
  <w:style w:type="character" w:customStyle="1" w:styleId="CommentSubjectChar">
    <w:name w:val="Comment Subject Char"/>
    <w:basedOn w:val="CommentTextChar"/>
    <w:link w:val="CommentSubject"/>
    <w:rsid w:val="00E756EC"/>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unhideWhenUsed/>
    <w:rsid w:val="00E756EC"/>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rparrinello\Documents\AGI%20Clients%20-%20Current\Quantifind\Quantifind%20-%20Plan%20and%20Modeling%20-%20v01%2003%202014.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07800100141981"/>
          <c:y val="2.5704052742679354E-2"/>
          <c:w val="0.74473006403822561"/>
          <c:h val="0.77692887943243905"/>
        </c:manualLayout>
      </c:layout>
      <c:scatterChart>
        <c:scatterStyle val="lineMarker"/>
        <c:varyColors val="0"/>
        <c:ser>
          <c:idx val="0"/>
          <c:order val="0"/>
          <c:tx>
            <c:strRef>
              <c:f>AEAll!$D$25:$E$25</c:f>
              <c:strCache>
                <c:ptCount val="1"/>
                <c:pt idx="0">
                  <c:v>Measure</c:v>
                </c:pt>
              </c:strCache>
            </c:strRef>
          </c:tx>
          <c:spPr>
            <a:ln w="19050">
              <a:solidFill>
                <a:srgbClr val="235043"/>
              </a:solidFill>
              <a:prstDash val="solid"/>
              <a:tailEnd type="none"/>
            </a:ln>
          </c:spPr>
          <c:marker>
            <c:symbol val="circle"/>
            <c:size val="5"/>
            <c:spPr>
              <a:solidFill>
                <a:srgbClr val="235043"/>
              </a:solidFill>
              <a:ln w="19050">
                <a:solidFill>
                  <a:srgbClr val="235043"/>
                </a:solidFill>
              </a:ln>
            </c:spPr>
          </c:marker>
          <c:dPt>
            <c:idx val="4"/>
            <c:marker>
              <c:symbol val="none"/>
            </c:marker>
            <c:bubble3D val="0"/>
            <c:extLst>
              <c:ext xmlns:c16="http://schemas.microsoft.com/office/drawing/2014/chart" uri="{C3380CC4-5D6E-409C-BE32-E72D297353CC}">
                <c16:uniqueId val="{00000000-3A6E-3741-9994-D17B5A22845D}"/>
              </c:ext>
            </c:extLst>
          </c:dPt>
          <c:dPt>
            <c:idx val="5"/>
            <c:marker>
              <c:symbol val="none"/>
            </c:marker>
            <c:bubble3D val="0"/>
            <c:spPr>
              <a:ln w="19050">
                <a:solidFill>
                  <a:srgbClr val="235043"/>
                </a:solidFill>
                <a:prstDash val="solid"/>
                <a:headEnd type="none"/>
                <a:tailEnd type="triangle" w="lg" len="lg"/>
              </a:ln>
            </c:spPr>
            <c:extLst>
              <c:ext xmlns:c16="http://schemas.microsoft.com/office/drawing/2014/chart" uri="{C3380CC4-5D6E-409C-BE32-E72D297353CC}">
                <c16:uniqueId val="{00000002-3A6E-3741-9994-D17B5A22845D}"/>
              </c:ext>
            </c:extLst>
          </c:dPt>
          <c:xVal>
            <c:numRef>
              <c:f>AEAll!$C$27:$C$32</c:f>
              <c:numCache>
                <c:formatCode>0%</c:formatCode>
                <c:ptCount val="6"/>
                <c:pt idx="0">
                  <c:v>0</c:v>
                </c:pt>
                <c:pt idx="1">
                  <c:v>0.5</c:v>
                </c:pt>
                <c:pt idx="2">
                  <c:v>1</c:v>
                </c:pt>
                <c:pt idx="3">
                  <c:v>1.4</c:v>
                </c:pt>
                <c:pt idx="4">
                  <c:v>1.8</c:v>
                </c:pt>
                <c:pt idx="5">
                  <c:v>2.5</c:v>
                </c:pt>
              </c:numCache>
            </c:numRef>
          </c:xVal>
          <c:yVal>
            <c:numRef>
              <c:f>AEAll!$D$27:$D$32</c:f>
              <c:numCache>
                <c:formatCode>0%</c:formatCode>
                <c:ptCount val="6"/>
                <c:pt idx="0">
                  <c:v>0</c:v>
                </c:pt>
                <c:pt idx="1">
                  <c:v>0.4</c:v>
                </c:pt>
                <c:pt idx="2">
                  <c:v>1</c:v>
                </c:pt>
                <c:pt idx="3">
                  <c:v>1.6</c:v>
                </c:pt>
                <c:pt idx="4">
                  <c:v>2.4</c:v>
                </c:pt>
                <c:pt idx="5">
                  <c:v>3.7999999999999989</c:v>
                </c:pt>
              </c:numCache>
            </c:numRef>
          </c:yVal>
          <c:smooth val="0"/>
          <c:extLst>
            <c:ext xmlns:c16="http://schemas.microsoft.com/office/drawing/2014/chart" uri="{C3380CC4-5D6E-409C-BE32-E72D297353CC}">
              <c16:uniqueId val="{00000003-3A6E-3741-9994-D17B5A22845D}"/>
            </c:ext>
          </c:extLst>
        </c:ser>
        <c:ser>
          <c:idx val="4"/>
          <c:order val="1"/>
          <c:tx>
            <c:strRef>
              <c:f>AEAll!$J$38</c:f>
              <c:strCache>
                <c:ptCount val="1"/>
                <c:pt idx="0">
                  <c:v>Vertical</c:v>
                </c:pt>
              </c:strCache>
            </c:strRef>
          </c:tx>
          <c:spPr>
            <a:ln w="19050">
              <a:solidFill>
                <a:schemeClr val="tx1">
                  <a:lumMod val="50000"/>
                  <a:lumOff val="50000"/>
                </a:schemeClr>
              </a:solidFill>
              <a:prstDash val="sysDash"/>
            </a:ln>
          </c:spPr>
          <c:marker>
            <c:symbol val="none"/>
          </c:marker>
          <c:xVal>
            <c:numRef>
              <c:f>AEAll!$K$38:$K$39</c:f>
              <c:numCache>
                <c:formatCode>0%</c:formatCode>
                <c:ptCount val="2"/>
                <c:pt idx="0">
                  <c:v>0</c:v>
                </c:pt>
                <c:pt idx="1">
                  <c:v>1</c:v>
                </c:pt>
              </c:numCache>
            </c:numRef>
          </c:xVal>
          <c:yVal>
            <c:numRef>
              <c:f>AEAll!$L$38:$L$39</c:f>
              <c:numCache>
                <c:formatCode>0%</c:formatCode>
                <c:ptCount val="2"/>
                <c:pt idx="0">
                  <c:v>1</c:v>
                </c:pt>
                <c:pt idx="1">
                  <c:v>1</c:v>
                </c:pt>
              </c:numCache>
            </c:numRef>
          </c:yVal>
          <c:smooth val="0"/>
          <c:extLst>
            <c:ext xmlns:c16="http://schemas.microsoft.com/office/drawing/2014/chart" uri="{C3380CC4-5D6E-409C-BE32-E72D297353CC}">
              <c16:uniqueId val="{00000004-3A6E-3741-9994-D17B5A22845D}"/>
            </c:ext>
          </c:extLst>
        </c:ser>
        <c:ser>
          <c:idx val="5"/>
          <c:order val="2"/>
          <c:tx>
            <c:strRef>
              <c:f>AEAll!$J$40</c:f>
              <c:strCache>
                <c:ptCount val="1"/>
                <c:pt idx="0">
                  <c:v>Horizontal</c:v>
                </c:pt>
              </c:strCache>
            </c:strRef>
          </c:tx>
          <c:spPr>
            <a:ln w="19050">
              <a:solidFill>
                <a:schemeClr val="tx1">
                  <a:lumMod val="50000"/>
                  <a:lumOff val="50000"/>
                </a:schemeClr>
              </a:solidFill>
              <a:prstDash val="sysDash"/>
            </a:ln>
          </c:spPr>
          <c:marker>
            <c:symbol val="none"/>
          </c:marker>
          <c:xVal>
            <c:numRef>
              <c:f>AEAll!$K$40:$K$41</c:f>
              <c:numCache>
                <c:formatCode>0%</c:formatCode>
                <c:ptCount val="2"/>
                <c:pt idx="0">
                  <c:v>1</c:v>
                </c:pt>
                <c:pt idx="1">
                  <c:v>1</c:v>
                </c:pt>
              </c:numCache>
            </c:numRef>
          </c:xVal>
          <c:yVal>
            <c:numRef>
              <c:f>AEAll!$L$40:$L$41</c:f>
              <c:numCache>
                <c:formatCode>0%</c:formatCode>
                <c:ptCount val="2"/>
                <c:pt idx="0">
                  <c:v>0</c:v>
                </c:pt>
                <c:pt idx="1">
                  <c:v>1</c:v>
                </c:pt>
              </c:numCache>
            </c:numRef>
          </c:yVal>
          <c:smooth val="0"/>
          <c:extLst>
            <c:ext xmlns:c16="http://schemas.microsoft.com/office/drawing/2014/chart" uri="{C3380CC4-5D6E-409C-BE32-E72D297353CC}">
              <c16:uniqueId val="{00000005-3A6E-3741-9994-D17B5A22845D}"/>
            </c:ext>
          </c:extLst>
        </c:ser>
        <c:dLbls>
          <c:showLegendKey val="0"/>
          <c:showVal val="0"/>
          <c:showCatName val="0"/>
          <c:showSerName val="0"/>
          <c:showPercent val="0"/>
          <c:showBubbleSize val="0"/>
        </c:dLbls>
        <c:axId val="150703104"/>
        <c:axId val="150726144"/>
      </c:scatterChart>
      <c:valAx>
        <c:axId val="150703104"/>
        <c:scaling>
          <c:orientation val="minMax"/>
          <c:max val="2.5"/>
          <c:min val="0"/>
        </c:scaling>
        <c:delete val="0"/>
        <c:axPos val="b"/>
        <c:title>
          <c:tx>
            <c:rich>
              <a:bodyPr/>
              <a:lstStyle/>
              <a:p>
                <a:pPr>
                  <a:defRPr/>
                </a:pPr>
                <a:r>
                  <a:rPr lang="en-US"/>
                  <a:t>% of Quota Performance</a:t>
                </a:r>
              </a:p>
            </c:rich>
          </c:tx>
          <c:layout>
            <c:manualLayout>
              <c:xMode val="edge"/>
              <c:yMode val="edge"/>
              <c:x val="0.34543267970631497"/>
              <c:y val="0.92202163035845974"/>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a:pPr>
            <a:endParaRPr lang="en-US"/>
          </a:p>
        </c:txPr>
        <c:crossAx val="150726144"/>
        <c:crosses val="autoZero"/>
        <c:crossBetween val="midCat"/>
      </c:valAx>
      <c:valAx>
        <c:axId val="150726144"/>
        <c:scaling>
          <c:orientation val="minMax"/>
          <c:max val="4"/>
        </c:scaling>
        <c:delete val="0"/>
        <c:axPos val="l"/>
        <c:majorGridlines>
          <c:spPr>
            <a:ln w="3175">
              <a:solidFill>
                <a:schemeClr val="bg1"/>
              </a:solidFill>
              <a:prstDash val="solid"/>
            </a:ln>
          </c:spPr>
        </c:majorGridlines>
        <c:title>
          <c:tx>
            <c:rich>
              <a:bodyPr/>
              <a:lstStyle/>
              <a:p>
                <a:pPr>
                  <a:defRPr/>
                </a:pPr>
                <a:r>
                  <a:rPr lang="en-US"/>
                  <a:t>% of Target Incentive</a:t>
                </a:r>
              </a:p>
            </c:rich>
          </c:tx>
          <c:layout>
            <c:manualLayout>
              <c:xMode val="edge"/>
              <c:yMode val="edge"/>
              <c:x val="5.8974445948571201E-3"/>
              <c:y val="0.16763130351835581"/>
            </c:manualLayout>
          </c:layout>
          <c:overlay val="0"/>
          <c:spPr>
            <a:noFill/>
            <a:ln w="25400">
              <a:noFill/>
            </a:ln>
          </c:spPr>
        </c:title>
        <c:numFmt formatCode="0%" sourceLinked="0"/>
        <c:majorTickMark val="out"/>
        <c:minorTickMark val="none"/>
        <c:tickLblPos val="nextTo"/>
        <c:spPr>
          <a:ln w="3175">
            <a:solidFill>
              <a:srgbClr val="000000"/>
            </a:solidFill>
            <a:prstDash val="solid"/>
            <a:tailEnd type="none"/>
          </a:ln>
        </c:spPr>
        <c:txPr>
          <a:bodyPr rot="0" vert="horz"/>
          <a:lstStyle/>
          <a:p>
            <a:pPr>
              <a:defRPr/>
            </a:pPr>
            <a:endParaRPr lang="en-US"/>
          </a:p>
        </c:txPr>
        <c:crossAx val="150703104"/>
        <c:crosses val="autoZero"/>
        <c:crossBetween val="midCat"/>
      </c:valAx>
      <c:spPr>
        <a:noFill/>
        <a:ln w="12700">
          <a:noFill/>
          <a:prstDash val="solid"/>
        </a:ln>
      </c:spPr>
    </c:plotArea>
    <c:plotVisOnly val="1"/>
    <c:dispBlanksAs val="gap"/>
    <c:showDLblsOverMax val="0"/>
  </c:chart>
  <c:spPr>
    <a:solidFill>
      <a:srgbClr val="FFFFFF"/>
    </a:solidFill>
    <a:ln w="9525">
      <a:solidFill>
        <a:schemeClr val="bg1">
          <a:lumMod val="75000"/>
        </a:schemeClr>
      </a:solidFill>
    </a:ln>
  </c:spPr>
  <c:txPr>
    <a:bodyPr/>
    <a:lstStyle/>
    <a:p>
      <a:pPr>
        <a:defRPr sz="900" b="0" i="0" u="none" strike="noStrike" baseline="0">
          <a:solidFill>
            <a:srgbClr val="000000"/>
          </a:solidFill>
          <a:latin typeface="Arial" pitchFamily="34" charset="0"/>
          <a:ea typeface="Arial Narrow"/>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4018</Words>
  <Characters>22907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McMillan</dc:creator>
  <cp:keywords/>
  <dc:description/>
  <cp:lastModifiedBy>Mark Gustaferro</cp:lastModifiedBy>
  <cp:revision>2</cp:revision>
  <dcterms:created xsi:type="dcterms:W3CDTF">2024-10-16T21:01:00Z</dcterms:created>
  <dcterms:modified xsi:type="dcterms:W3CDTF">2024-10-16T21:01:00Z</dcterms:modified>
</cp:coreProperties>
</file>